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D66F00B" w:rsidR="00093CA9" w:rsidRDefault="000F1022" w:rsidP="00093CA9">
            <w:r w:rsidRPr="000F1022">
              <w:t>Dentons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E9723D" w:rsidR="00093CA9" w:rsidRDefault="00287C1D" w:rsidP="00093CA9">
            <w:r>
              <w:t>UAE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81C545C" w:rsidR="00093CA9" w:rsidRDefault="001F41D5" w:rsidP="00093CA9">
            <w:r w:rsidRPr="001F41D5">
              <w:t>National Climate Change Plan of the United Arab Emirates 2017-2050</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38026AB2" w:rsidR="00093CA9" w:rsidRDefault="00714E38" w:rsidP="00093CA9">
            <w:hyperlink r:id="rId17" w:history="1">
              <w:r w:rsidRPr="00714E38">
                <w:rPr>
                  <w:rStyle w:val="Hyperlink"/>
                </w:rPr>
                <w:t>National Climate Change Plan.pdf</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24CBFAA8" w:rsidR="00093CA9" w:rsidRDefault="001F41D5"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53221BD1" w:rsidR="00093CA9" w:rsidRDefault="001F41D5"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5E921211"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89C8F25"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C520037" w:rsidR="00093CA9" w:rsidRDefault="00714E38" w:rsidP="00714E38">
            <w:r w:rsidRPr="00714E38">
              <w:t xml:space="preserve">The </w:t>
            </w:r>
            <w:r>
              <w:t>policy tool</w:t>
            </w:r>
            <w:r w:rsidRPr="00714E38">
              <w:t xml:space="preserve"> is designed to consolidate and guide the UAE’s climate action. Its primary goals are to manage greenhouse gas emissions while sustaining economic growth, advance economic diversification through innovative solutions and build climate resilience by minimising risks and increasing adaptive capacity. The </w:t>
            </w:r>
            <w:r>
              <w:t>policy tool</w:t>
            </w:r>
            <w:r w:rsidRPr="00714E38">
              <w:t xml:space="preserve"> is highly relevant to climate-related disclosure and transition planning, as it establishes robust frameworks for GHG measurement, reporting and verification,</w:t>
            </w:r>
            <w:r>
              <w:t xml:space="preserve"> </w:t>
            </w:r>
            <w:r w:rsidRPr="00714E38">
              <w:t>and integrates adaptation and mitigation into national development strategies. This approach ensures that climate risks and opportunities are systematically addressed, supporting transparent disclosure and effective transition to a low-carbon, climate-resilient economy</w:t>
            </w:r>
            <w:r>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1B0FF9B" w:rsidR="00093CA9" w:rsidRDefault="00530DBA" w:rsidP="00093CA9">
            <w:r>
              <w:t>X</w:t>
            </w:r>
          </w:p>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65024C5" w:rsidR="00093CA9" w:rsidRDefault="00530DBA" w:rsidP="00530DBA">
            <w:r>
              <w:t xml:space="preserve">The policy tool </w:t>
            </w:r>
            <w:r w:rsidRPr="00530DBA">
              <w:t>introduces, promotes and coordinates a variety of voluntary measures and initiatives, while also aligning with and enhancing existing UAE policies. Its purpose is to provide strategic direction, encourage innovation and participation and ensure that all climate-related efforts in the UAE are coherent and effective.</w:t>
            </w:r>
            <w:r>
              <w:t xml:space="preserve"> It is not ratified by law. </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668E2A9" w:rsidR="00093CA9" w:rsidRPr="00173D7C" w:rsidRDefault="00530DBA" w:rsidP="00093CA9">
            <w:pPr>
              <w:rPr>
                <w:color w:val="000000" w:themeColor="text1"/>
              </w:rPr>
            </w:pPr>
            <w:r>
              <w:rPr>
                <w:color w:val="000000" w:themeColor="text1"/>
              </w:rPr>
              <w:t>2017</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43D73F99" w:rsidR="00093CA9" w:rsidRPr="007419BF" w:rsidRDefault="00530DBA" w:rsidP="00093CA9">
            <w:pPr>
              <w:rPr>
                <w:color w:val="000000" w:themeColor="text1"/>
              </w:rPr>
            </w:pPr>
            <w:r>
              <w:rPr>
                <w:color w:val="000000" w:themeColor="text1"/>
              </w:rPr>
              <w:t>2050</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9A47319" w:rsidR="00093CA9" w:rsidRDefault="00107F7B" w:rsidP="00093CA9">
            <w:r>
              <w:t xml:space="preserve">The Ministry of Climate Change and </w:t>
            </w:r>
            <w:proofErr w:type="gramStart"/>
            <w:r>
              <w:t>Environment  in</w:t>
            </w:r>
            <w:proofErr w:type="gramEnd"/>
            <w:r>
              <w:t xml:space="preserve"> the UAE (</w:t>
            </w:r>
            <w:r w:rsidRPr="00107F7B">
              <w:rPr>
                <w:b/>
                <w:bCs/>
              </w:rPr>
              <w:t>MOCCAE</w:t>
            </w:r>
            <w:r>
              <w: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RDefault="00093CA9" w:rsidP="00093CA9"/>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5BE404E" w:rsidR="00093CA9" w:rsidRPr="006B7B0D" w:rsidRDefault="00EC5D7E"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lastRenderedPageBreak/>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4321E3BE" w:rsidR="00093CA9" w:rsidRDefault="00EC5D7E"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B9D99EF" w14:textId="77777777" w:rsidR="002645E0" w:rsidRPr="002645E0" w:rsidRDefault="002645E0" w:rsidP="002645E0">
            <w:pPr>
              <w:keepNext/>
              <w:rPr>
                <w:color w:val="000000" w:themeColor="text1"/>
              </w:rPr>
            </w:pPr>
            <w:r w:rsidRPr="002645E0">
              <w:rPr>
                <w:color w:val="000000" w:themeColor="text1"/>
              </w:rPr>
              <w:t xml:space="preserve">Section 2.1 introduces the </w:t>
            </w:r>
            <w:r w:rsidRPr="002645E0">
              <w:rPr>
                <w:b/>
                <w:bCs/>
                <w:color w:val="000000" w:themeColor="text1"/>
              </w:rPr>
              <w:t>National Climate Change Management System (NCCMS)</w:t>
            </w:r>
            <w:r w:rsidRPr="002645E0">
              <w:rPr>
                <w:color w:val="000000" w:themeColor="text1"/>
              </w:rPr>
              <w:t xml:space="preserve"> as a centralised platform for all climate-related data and progress reports, accessible to stakeholders and the public (Section 2.1, Way Forward, pp. 36–37).</w:t>
            </w:r>
          </w:p>
          <w:p w14:paraId="58272BA8" w14:textId="77777777" w:rsidR="002645E0" w:rsidRPr="002645E0" w:rsidRDefault="002645E0" w:rsidP="002645E0">
            <w:pPr>
              <w:keepNext/>
              <w:rPr>
                <w:color w:val="000000" w:themeColor="text1"/>
              </w:rPr>
            </w:pPr>
            <w:r w:rsidRPr="002645E0">
              <w:rPr>
                <w:color w:val="000000" w:themeColor="text1"/>
              </w:rPr>
              <w:t xml:space="preserve">The same section details the </w:t>
            </w:r>
            <w:r w:rsidRPr="002645E0">
              <w:rPr>
                <w:b/>
                <w:bCs/>
                <w:color w:val="000000" w:themeColor="text1"/>
              </w:rPr>
              <w:t>Measurement, Reporting, and Verification (MRV) system</w:t>
            </w:r>
            <w:r w:rsidRPr="002645E0">
              <w:rPr>
                <w:color w:val="000000" w:themeColor="text1"/>
              </w:rPr>
              <w:t>, which is designed to enhance data sharing and coordination across sectors for climate action (Section 2.1, Way Forward, pp. 36–37).</w:t>
            </w:r>
          </w:p>
          <w:p w14:paraId="71C2B0F5" w14:textId="77777777" w:rsidR="002645E0" w:rsidRPr="002645E0" w:rsidRDefault="002645E0" w:rsidP="002645E0">
            <w:pPr>
              <w:keepNext/>
              <w:rPr>
                <w:color w:val="000000" w:themeColor="text1"/>
              </w:rPr>
            </w:pPr>
            <w:r w:rsidRPr="002645E0">
              <w:rPr>
                <w:b/>
                <w:bCs/>
                <w:color w:val="000000" w:themeColor="text1"/>
              </w:rPr>
              <w:t>Periodic reporting</w:t>
            </w:r>
            <w:r w:rsidRPr="002645E0">
              <w:rPr>
                <w:color w:val="000000" w:themeColor="text1"/>
              </w:rPr>
              <w:t>—including Biennial Update Reports and National Communications—is required as part of the NCCMS to meet international obligations under the Paris Agreement (Section 2.1, Way Forward, pp. 36–37).</w:t>
            </w:r>
          </w:p>
          <w:p w14:paraId="550B9A8B" w14:textId="77777777" w:rsidR="002645E0" w:rsidRPr="002645E0" w:rsidRDefault="002645E0" w:rsidP="002645E0">
            <w:pPr>
              <w:keepNext/>
              <w:rPr>
                <w:color w:val="000000" w:themeColor="text1"/>
              </w:rPr>
            </w:pPr>
            <w:r w:rsidRPr="002645E0">
              <w:rPr>
                <w:color w:val="000000" w:themeColor="text1"/>
              </w:rPr>
              <w:t xml:space="preserve">Section 2.2 outlines the creation of a </w:t>
            </w:r>
            <w:r w:rsidRPr="002645E0">
              <w:rPr>
                <w:b/>
                <w:bCs/>
                <w:color w:val="000000" w:themeColor="text1"/>
              </w:rPr>
              <w:t>public online portal</w:t>
            </w:r>
            <w:r w:rsidRPr="002645E0">
              <w:rPr>
                <w:color w:val="000000" w:themeColor="text1"/>
              </w:rPr>
              <w:t xml:space="preserve"> to consolidate adaptation efforts and provide open access to climate data and studies (Section 2.2, Long-term actions, p. 39).</w:t>
            </w:r>
          </w:p>
          <w:p w14:paraId="2C2128DB" w14:textId="6E5B1346" w:rsidR="00093CA9" w:rsidRPr="008017F9" w:rsidRDefault="002645E0" w:rsidP="002645E0">
            <w:pPr>
              <w:keepNext/>
              <w:rPr>
                <w:color w:val="000000" w:themeColor="text1"/>
              </w:rPr>
            </w:pPr>
            <w:r w:rsidRPr="002645E0">
              <w:rPr>
                <w:color w:val="000000" w:themeColor="text1"/>
              </w:rPr>
              <w:t xml:space="preserve">Section 4.3 assigns the </w:t>
            </w:r>
            <w:r w:rsidRPr="002645E0">
              <w:rPr>
                <w:b/>
                <w:bCs/>
                <w:color w:val="000000" w:themeColor="text1"/>
              </w:rPr>
              <w:t>Ministry of Climate Change and Environment (MOCCAE)</w:t>
            </w:r>
            <w:r w:rsidRPr="002645E0">
              <w:rPr>
                <w:color w:val="000000" w:themeColor="text1"/>
              </w:rPr>
              <w:t xml:space="preserve"> responsibility for monitoring, with oversight by the UAE Council on Climate Change and Environment (Section 4.3, p. 58).</w:t>
            </w:r>
          </w:p>
        </w:tc>
      </w:tr>
    </w:tbl>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5E53C441" w:rsidR="00CF5268" w:rsidRDefault="002645E0" w:rsidP="00DD3144">
            <w:r>
              <w:t>X</w:t>
            </w:r>
          </w:p>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4E9CD51E" w:rsidR="00CF5268" w:rsidRDefault="002645E0" w:rsidP="00DD3144">
            <w:r>
              <w:t>X</w:t>
            </w:r>
          </w:p>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1A8C220" w:rsidR="00CF5268" w:rsidRDefault="002645E0" w:rsidP="00DD3144">
            <w:r>
              <w:t>X</w:t>
            </w:r>
          </w:p>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22C4AD8" w:rsidR="00CF5268" w:rsidRDefault="002645E0" w:rsidP="00DD3144">
            <w:r>
              <w:t>X</w:t>
            </w:r>
          </w:p>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28403F2D" w:rsidR="00CF5268" w:rsidRDefault="002645E0" w:rsidP="00DD3144">
            <w:r>
              <w:t>X</w:t>
            </w:r>
          </w:p>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43C45AD1" w:rsidR="466E435B" w:rsidRDefault="002645E0" w:rsidP="00DD3144">
            <w:r>
              <w:t>X</w:t>
            </w:r>
          </w:p>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EDCE9FA" w:rsidR="00CF5268" w:rsidRDefault="002645E0"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5C0904CB" w:rsidR="466E435B" w:rsidRDefault="002645E0" w:rsidP="00DD3144">
            <w:r>
              <w:t>X</w:t>
            </w:r>
          </w:p>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6109CBF1" w:rsidR="466E435B" w:rsidRDefault="002645E0" w:rsidP="00DD3144">
            <w:r>
              <w:t>X</w:t>
            </w:r>
          </w:p>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4FE1C17B" w:rsidR="466E435B" w:rsidRDefault="002645E0" w:rsidP="00DD3144">
            <w:r>
              <w:t>X</w:t>
            </w:r>
          </w:p>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22C858DD" w:rsidR="466E435B" w:rsidRDefault="002645E0" w:rsidP="00DD3144">
            <w:r>
              <w:t>X</w:t>
            </w:r>
          </w:p>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B05CD34" w:rsidR="00CF5268" w:rsidRDefault="002645E0" w:rsidP="00DD3144">
            <w:r>
              <w:t>X</w:t>
            </w:r>
          </w:p>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289E4990" w:rsidR="00CF5268" w:rsidRDefault="002645E0"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279A3E7E" w:rsidR="004B2D74" w:rsidRDefault="000245F2" w:rsidP="00DD3144">
            <w:r>
              <w:t>X</w:t>
            </w:r>
          </w:p>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635C2E21" w:rsidR="004B2D74" w:rsidRDefault="000245F2" w:rsidP="00DD3144">
            <w:r>
              <w:t>X</w:t>
            </w:r>
          </w:p>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62629754" w:rsidR="004B2D74" w:rsidRDefault="000245F2" w:rsidP="00DD3144">
            <w:r>
              <w:t>X</w:t>
            </w:r>
          </w:p>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B546E91" w:rsidR="004B2D74" w:rsidRDefault="000245F2" w:rsidP="00DD3144">
            <w:r>
              <w:t>X</w:t>
            </w:r>
          </w:p>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122B6F2" w:rsidR="004B2D74" w:rsidRDefault="000245F2" w:rsidP="00DD3144">
            <w:r>
              <w:t>X</w:t>
            </w:r>
          </w:p>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5BD14EEF" w:rsidR="004B2D74" w:rsidRDefault="000245F2" w:rsidP="00DD3144">
            <w:r>
              <w:t>X</w:t>
            </w:r>
          </w:p>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287C1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7E1803C3" w:rsidR="00911F20" w:rsidRDefault="000245F2" w:rsidP="00DD3144">
            <w:r>
              <w:t>X</w:t>
            </w:r>
          </w:p>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1138F4C5" w:rsidR="00C57511" w:rsidRPr="00FA0CF8" w:rsidRDefault="000245F2" w:rsidP="00DD3144">
            <w:pPr>
              <w:spacing w:line="276" w:lineRule="auto"/>
              <w:rPr>
                <w:color w:val="000000" w:themeColor="text1"/>
              </w:rPr>
            </w:pPr>
            <w:r>
              <w:rPr>
                <w:color w:val="000000" w:themeColor="text1"/>
              </w:rPr>
              <w:t>X</w:t>
            </w: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214E68D0" w14:textId="6BC96237" w:rsidR="000245F2" w:rsidRPr="000245F2" w:rsidRDefault="000245F2" w:rsidP="000245F2">
            <w:pPr>
              <w:spacing w:line="276" w:lineRule="auto"/>
              <w:rPr>
                <w:color w:val="000000" w:themeColor="text1"/>
              </w:rPr>
            </w:pPr>
            <w:r w:rsidRPr="000245F2">
              <w:rPr>
                <w:color w:val="000000" w:themeColor="text1"/>
              </w:rPr>
              <w:t>The plan calls for the development of systems such as the National Climate Change Management System (</w:t>
            </w:r>
            <w:r w:rsidRPr="000245F2">
              <w:rPr>
                <w:b/>
                <w:bCs/>
                <w:color w:val="000000" w:themeColor="text1"/>
              </w:rPr>
              <w:t>NCCMS</w:t>
            </w:r>
            <w:r w:rsidRPr="000245F2">
              <w:rPr>
                <w:color w:val="000000" w:themeColor="text1"/>
              </w:rPr>
              <w:t>) and Measurement, Reporting, and Verification (</w:t>
            </w:r>
            <w:r w:rsidRPr="000245F2">
              <w:rPr>
                <w:b/>
                <w:bCs/>
                <w:color w:val="000000" w:themeColor="text1"/>
              </w:rPr>
              <w:t>MRV</w:t>
            </w:r>
            <w:r w:rsidRPr="000245F2">
              <w:rPr>
                <w:color w:val="000000" w:themeColor="text1"/>
              </w:rPr>
              <w:t>) frameworks, which are being established to improve data collection, reporting, and coordination.</w:t>
            </w:r>
          </w:p>
          <w:p w14:paraId="5817B32D" w14:textId="492BA935" w:rsidR="000245F2" w:rsidRPr="000245F2" w:rsidRDefault="000245F2" w:rsidP="000245F2">
            <w:pPr>
              <w:spacing w:line="276" w:lineRule="auto"/>
              <w:rPr>
                <w:color w:val="000000" w:themeColor="text1"/>
              </w:rPr>
            </w:pPr>
            <w:r w:rsidRPr="000245F2">
              <w:rPr>
                <w:color w:val="000000" w:themeColor="text1"/>
              </w:rPr>
              <w:t>It references the launch of public awareness campaigns, capacity-building programmes, and the allocation of resources to support green finance and innovation.</w:t>
            </w:r>
          </w:p>
          <w:p w14:paraId="2041A75B" w14:textId="4DFEF5E1" w:rsidR="000245F2" w:rsidRPr="000245F2" w:rsidRDefault="000245F2" w:rsidP="000245F2">
            <w:pPr>
              <w:spacing w:line="276" w:lineRule="auto"/>
              <w:rPr>
                <w:color w:val="000000" w:themeColor="text1"/>
              </w:rPr>
            </w:pPr>
            <w:r w:rsidRPr="000245F2">
              <w:rPr>
                <w:color w:val="000000" w:themeColor="text1"/>
              </w:rPr>
              <w:t>The Ministry of Climate Change and Environment (</w:t>
            </w:r>
            <w:r w:rsidRPr="000245F2">
              <w:rPr>
                <w:b/>
                <w:bCs/>
                <w:color w:val="000000" w:themeColor="text1"/>
              </w:rPr>
              <w:t>MOCCAE</w:t>
            </w:r>
            <w:r w:rsidRPr="000245F2">
              <w:rPr>
                <w:color w:val="000000" w:themeColor="text1"/>
              </w:rPr>
              <w:t>) and the UAE Council on Climate Change and Environment are responsible for overseeing the plan’s progress, which includes regular reviews and updates.</w:t>
            </w:r>
          </w:p>
          <w:p w14:paraId="7A457096" w14:textId="77DF564E" w:rsidR="00654950" w:rsidRDefault="000245F2" w:rsidP="000245F2">
            <w:pPr>
              <w:spacing w:line="276" w:lineRule="auto"/>
              <w:rPr>
                <w:color w:val="000000" w:themeColor="text1"/>
              </w:rPr>
            </w:pPr>
            <w:r w:rsidRPr="000245F2">
              <w:rPr>
                <w:color w:val="000000" w:themeColor="text1"/>
              </w:rPr>
              <w:t>The plan also mentions the integration of climate action into national and emirate-level strategies, and the development of sector-specific initiatives and partnerships with the private sector</w:t>
            </w:r>
            <w:r>
              <w:rPr>
                <w:color w:val="000000" w:themeColor="text1"/>
              </w:rPr>
              <w:t>.</w:t>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1835F484" w:rsidR="00CB1649" w:rsidRPr="00FA0CF8" w:rsidRDefault="00754AB4"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lastRenderedPageBreak/>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68F235FB" w:rsidR="008063B5" w:rsidRDefault="00754AB4"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8CD7F29" w:rsidR="00042406" w:rsidRDefault="00754AB4" w:rsidP="00DD3144">
            <w:r>
              <w:t>X</w:t>
            </w:r>
          </w:p>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3E9409C2" w:rsidR="00042406" w:rsidRDefault="00754AB4" w:rsidP="00DD3144">
            <w:r>
              <w:t>X</w:t>
            </w:r>
          </w:p>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5047245A" w:rsidR="00042406" w:rsidRDefault="00754AB4" w:rsidP="00DD3144">
            <w:r>
              <w:t>X</w:t>
            </w:r>
          </w:p>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544A7878" w:rsidR="00042406" w:rsidRDefault="00754AB4" w:rsidP="00DD3144">
            <w:r>
              <w:t>X</w:t>
            </w:r>
          </w:p>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47FC8363" w:rsidR="00042406" w:rsidRDefault="00754AB4" w:rsidP="00DD3144">
            <w:r>
              <w:t>X</w:t>
            </w:r>
          </w:p>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3D49471B" w:rsidR="00042406" w:rsidRDefault="00754AB4" w:rsidP="00DD3144">
            <w:r>
              <w:t>X</w:t>
            </w:r>
          </w:p>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3F399DFE" w:rsidR="00042406" w:rsidRDefault="00754AB4" w:rsidP="00DD3144">
            <w:r>
              <w:t>X</w:t>
            </w:r>
          </w:p>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CAAB851" w:rsidR="00B0479E" w:rsidRPr="00F75058" w:rsidRDefault="00B82B6C" w:rsidP="00DD3144">
            <w:pPr>
              <w:rPr>
                <w:rFonts w:ascii="Calibri" w:hAnsi="Calibri" w:cs="Calibri"/>
              </w:rPr>
            </w:pPr>
            <w:r>
              <w:rPr>
                <w:rFonts w:ascii="Calibri" w:hAnsi="Calibri" w:cs="Calibri"/>
              </w:rPr>
              <w:t>X</w:t>
            </w: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795C963C" w:rsidR="00B0479E" w:rsidRPr="00F75058" w:rsidRDefault="00B82B6C" w:rsidP="00DD3144">
            <w:pPr>
              <w:rPr>
                <w:rFonts w:ascii="Calibri" w:hAnsi="Calibri" w:cs="Calibri"/>
              </w:rPr>
            </w:pPr>
            <w:r>
              <w:rPr>
                <w:rFonts w:ascii="Calibri" w:hAnsi="Calibri" w:cs="Calibri"/>
              </w:rPr>
              <w:t>X</w:t>
            </w: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6FFC8031" w:rsidR="00B0479E" w:rsidRPr="00F75058" w:rsidRDefault="00B82B6C" w:rsidP="00DD3144">
            <w:pPr>
              <w:rPr>
                <w:rFonts w:ascii="Calibri" w:hAnsi="Calibri" w:cs="Calibri"/>
              </w:rPr>
            </w:pPr>
            <w:r>
              <w:rPr>
                <w:rFonts w:ascii="Calibri" w:hAnsi="Calibri" w:cs="Calibri"/>
              </w:rPr>
              <w:t>X</w:t>
            </w: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44CED681" w:rsidR="00B0479E" w:rsidRPr="00F75058" w:rsidRDefault="00B82B6C" w:rsidP="00DD3144">
            <w:pPr>
              <w:rPr>
                <w:rFonts w:ascii="Calibri" w:hAnsi="Calibri" w:cs="Calibri"/>
              </w:rPr>
            </w:pPr>
            <w:r>
              <w:rPr>
                <w:rFonts w:ascii="Calibri" w:hAnsi="Calibri" w:cs="Calibri"/>
              </w:rPr>
              <w:t>X</w:t>
            </w: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4E07F2B2" w:rsidR="00B0479E" w:rsidRPr="00F75058" w:rsidRDefault="00B82B6C" w:rsidP="00DD3144">
            <w:pPr>
              <w:rPr>
                <w:rFonts w:ascii="Calibri" w:hAnsi="Calibri" w:cs="Calibri"/>
              </w:rPr>
            </w:pPr>
            <w:r>
              <w:rPr>
                <w:rFonts w:ascii="Calibri" w:hAnsi="Calibri" w:cs="Calibri"/>
              </w:rPr>
              <w:t>X</w:t>
            </w: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21F67CB8" w:rsidR="00B0479E" w:rsidRPr="00F75058" w:rsidRDefault="00B82B6C" w:rsidP="00DD3144">
            <w:pPr>
              <w:rPr>
                <w:rFonts w:ascii="Calibri" w:hAnsi="Calibri" w:cs="Calibri"/>
              </w:rPr>
            </w:pPr>
            <w:r>
              <w:rPr>
                <w:rFonts w:ascii="Calibri" w:hAnsi="Calibri" w:cs="Calibri"/>
              </w:rPr>
              <w:t>X</w:t>
            </w: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081B6175" w:rsidR="00B0479E" w:rsidRPr="00F75058" w:rsidRDefault="00B82B6C" w:rsidP="00DD3144">
            <w:pPr>
              <w:rPr>
                <w:rFonts w:ascii="Calibri" w:hAnsi="Calibri" w:cs="Calibri"/>
              </w:rPr>
            </w:pPr>
            <w:r>
              <w:rPr>
                <w:rFonts w:ascii="Calibri" w:hAnsi="Calibri" w:cs="Calibri"/>
              </w:rPr>
              <w:t>X</w:t>
            </w: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1D768B57" w:rsidR="00B0479E" w:rsidRPr="00F75058" w:rsidRDefault="00B82B6C" w:rsidP="00DD3144">
            <w:pPr>
              <w:rPr>
                <w:rFonts w:ascii="Calibri" w:hAnsi="Calibri" w:cs="Calibri"/>
              </w:rPr>
            </w:pPr>
            <w:r>
              <w:rPr>
                <w:rFonts w:ascii="Calibri" w:hAnsi="Calibri" w:cs="Calibri"/>
              </w:rPr>
              <w:t>X</w:t>
            </w: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7464C388" w:rsidR="00B0479E" w:rsidRDefault="00B82B6C" w:rsidP="00DD3144">
            <w:pPr>
              <w:rPr>
                <w:rFonts w:ascii="Calibri" w:hAnsi="Calibri" w:cs="Calibri"/>
              </w:rPr>
            </w:pPr>
            <w:r>
              <w:rPr>
                <w:rFonts w:ascii="Calibri" w:hAnsi="Calibri" w:cs="Calibri"/>
              </w:rPr>
              <w:t>X</w:t>
            </w: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58AE3C94" w:rsidR="00B0479E" w:rsidRDefault="00B82B6C" w:rsidP="00DD3144">
            <w:pPr>
              <w:rPr>
                <w:rFonts w:ascii="Calibri" w:hAnsi="Calibri" w:cs="Calibri"/>
              </w:rPr>
            </w:pPr>
            <w:r>
              <w:rPr>
                <w:rFonts w:ascii="Calibri" w:hAnsi="Calibri" w:cs="Calibri"/>
              </w:rPr>
              <w:t>X</w:t>
            </w: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2F56E37E" w:rsidR="00B0479E" w:rsidRDefault="00B82B6C" w:rsidP="00DD3144">
            <w:pPr>
              <w:rPr>
                <w:rFonts w:ascii="Calibri" w:hAnsi="Calibri" w:cs="Calibri"/>
              </w:rPr>
            </w:pPr>
            <w:r>
              <w:rPr>
                <w:rFonts w:ascii="Calibri" w:hAnsi="Calibri" w:cs="Calibri"/>
              </w:rPr>
              <w:t>X</w:t>
            </w: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lastRenderedPageBreak/>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1DDC895"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1BA8D84F" w:rsidR="00B0479E" w:rsidRDefault="00B82B6C" w:rsidP="00DD3144">
            <w:pPr>
              <w:rPr>
                <w:rFonts w:ascii="Calibri" w:hAnsi="Calibri" w:cs="Calibri"/>
              </w:rPr>
            </w:pPr>
            <w:r>
              <w:rPr>
                <w:rFonts w:ascii="Calibri" w:hAnsi="Calibri" w:cs="Calibri"/>
              </w:rPr>
              <w:t>X</w:t>
            </w: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2AE39381" w:rsidR="00B0479E" w:rsidRDefault="00B82B6C" w:rsidP="00DD3144">
            <w:pPr>
              <w:rPr>
                <w:rFonts w:ascii="Calibri" w:hAnsi="Calibri" w:cs="Calibri"/>
              </w:rPr>
            </w:pPr>
            <w:r>
              <w:rPr>
                <w:rFonts w:ascii="Calibri" w:hAnsi="Calibri" w:cs="Calibri"/>
              </w:rPr>
              <w:t>X</w:t>
            </w: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5A517AA4" w:rsidR="00B0479E" w:rsidRDefault="00B82B6C" w:rsidP="00DD3144">
            <w:pPr>
              <w:spacing w:line="276" w:lineRule="auto"/>
              <w:rPr>
                <w:rFonts w:ascii="Calibri" w:hAnsi="Calibri" w:cs="Calibri"/>
              </w:rPr>
            </w:pPr>
            <w:r>
              <w:rPr>
                <w:rFonts w:ascii="Calibri" w:hAnsi="Calibri" w:cs="Calibri"/>
              </w:rPr>
              <w:t>X</w:t>
            </w: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02DAC903" w:rsidR="00B0479E" w:rsidRDefault="00B82B6C" w:rsidP="00DD3144">
            <w:pPr>
              <w:spacing w:line="276" w:lineRule="auto"/>
              <w:rPr>
                <w:rFonts w:ascii="Calibri" w:hAnsi="Calibri" w:cs="Calibri"/>
              </w:rPr>
            </w:pPr>
            <w:r>
              <w:rPr>
                <w:rFonts w:ascii="Calibri" w:hAnsi="Calibri" w:cs="Calibri"/>
              </w:rPr>
              <w:t>X</w:t>
            </w: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1E5E2CFE" w:rsidR="00B0479E" w:rsidRDefault="00B82B6C" w:rsidP="00DD3144">
            <w:pPr>
              <w:spacing w:line="276" w:lineRule="auto"/>
              <w:rPr>
                <w:rFonts w:ascii="Calibri" w:hAnsi="Calibri" w:cs="Calibri"/>
              </w:rPr>
            </w:pPr>
            <w:r>
              <w:rPr>
                <w:rFonts w:ascii="Calibri" w:hAnsi="Calibri" w:cs="Calibri"/>
              </w:rPr>
              <w:t>X</w:t>
            </w: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lastRenderedPageBreak/>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6C5A3054" w:rsidR="00B0479E" w:rsidRDefault="00B82B6C" w:rsidP="00B82B6C">
            <w:r>
              <w:t>The policy tool r</w:t>
            </w:r>
            <w:r w:rsidRPr="00B82B6C">
              <w:t>ecommends that entities disclose GHG offsets or removals as part of a robust MRV system, including data on carbon sinks and the use of recognised methodologies or certifications. This aims to ensure transparency and alignment with international best practices</w:t>
            </w:r>
            <w:r w:rsidR="009F20DB">
              <w:t>.</w:t>
            </w:r>
          </w:p>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657DA4CD" w:rsidR="00B0479E" w:rsidRDefault="009F20DB" w:rsidP="009F20DB">
            <w:r>
              <w:t xml:space="preserve">The policy tool </w:t>
            </w:r>
            <w:r w:rsidRPr="009F20DB">
              <w:t xml:space="preserve">recommends that offsets and removals be accounted for using recognised methodologies and best practices, and that their use should complement, not replace, efforts to reduce emissions at source. </w:t>
            </w:r>
          </w:p>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2EC5E838" w:rsidR="00B0479E" w:rsidRDefault="009F20DB" w:rsidP="00DD3144">
            <w:r>
              <w:t>X</w:t>
            </w:r>
          </w:p>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96A68CF" w:rsidR="00B0479E" w:rsidRDefault="009F20DB" w:rsidP="00DD3144">
            <w:r>
              <w:t>X</w:t>
            </w:r>
          </w:p>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0243BD72" w:rsidR="00B0479E" w:rsidRDefault="009F20DB" w:rsidP="00DD3144">
            <w:r>
              <w:t>X</w:t>
            </w:r>
          </w:p>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BC775C8" w:rsidR="00B0479E" w:rsidRDefault="009F20DB" w:rsidP="00DD3144">
            <w:r>
              <w:t>X</w:t>
            </w:r>
          </w:p>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2DFE82C7" w:rsidR="00B0479E" w:rsidRDefault="009F20DB" w:rsidP="00DD3144">
            <w:r>
              <w:t>X</w:t>
            </w:r>
          </w:p>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17EBE649" w:rsidR="00B0479E" w:rsidRDefault="009F20DB" w:rsidP="00DD3144">
            <w:r>
              <w:t>X</w:t>
            </w:r>
          </w:p>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4FEE37C4" w:rsidR="00B0479E" w:rsidRDefault="009F20DB" w:rsidP="00DD3144">
            <w:r>
              <w:t>X</w:t>
            </w:r>
          </w:p>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00DE2B5B" w:rsidR="00B0479E" w:rsidRDefault="009F20DB" w:rsidP="00DD3144">
            <w:r>
              <w:t>X</w:t>
            </w:r>
          </w:p>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6631EAAB" w:rsidR="00B0479E" w:rsidRDefault="009F20DB" w:rsidP="00DD3144">
            <w:r>
              <w:t>X</w:t>
            </w:r>
          </w:p>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lastRenderedPageBreak/>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1EF92F73" w:rsidR="00B0479E" w:rsidRDefault="00F4384F" w:rsidP="00DD3144">
            <w:r>
              <w:t>X</w:t>
            </w:r>
          </w:p>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1A05E187" w:rsidR="00B0479E" w:rsidRDefault="00F4384F" w:rsidP="00DD3144">
            <w:r>
              <w:t>X</w:t>
            </w:r>
          </w:p>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5D9D8905"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7F9E5CC7" w:rsidR="00B0479E" w:rsidRDefault="00F4384F" w:rsidP="00DD3144">
            <w:r>
              <w:t>X</w:t>
            </w:r>
          </w:p>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lastRenderedPageBreak/>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7868F97" w:rsidR="00B0479E" w:rsidRDefault="00F4384F" w:rsidP="00DD3144">
            <w:r>
              <w:t>X</w:t>
            </w:r>
          </w:p>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0D452231" w:rsidR="00B0479E" w:rsidRDefault="00F4384F" w:rsidP="00DD3144">
            <w:r>
              <w:t>X</w:t>
            </w:r>
          </w:p>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0CED5298" w:rsidR="00B0479E" w:rsidRDefault="00F4384F" w:rsidP="00DD3144">
            <w:r>
              <w:t>X</w:t>
            </w:r>
          </w:p>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6C33C908" w:rsidR="00B0479E" w:rsidRDefault="00B2267E" w:rsidP="00B2267E">
            <w:r w:rsidRPr="00B2267E">
              <w:t>The plan recommends entities disclose interim GHG reduction targets by encouraging progress reporting at key milestones such as 2020, 2025, 2030, and 2050, as outlined in Section 1.5, “Structure” (pp. 26–27)</w:t>
            </w:r>
          </w:p>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30B4B419" w:rsidR="00B0479E" w:rsidRDefault="00B2267E" w:rsidP="00DD3144">
            <w:r>
              <w:t>X</w:t>
            </w:r>
          </w:p>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lastRenderedPageBreak/>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791D3D79" w:rsidR="00B0479E" w:rsidRDefault="00B2267E" w:rsidP="00DD3144">
            <w:r>
              <w:t>X</w:t>
            </w:r>
          </w:p>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0731147C" w:rsidR="00B0479E" w:rsidRDefault="00972816" w:rsidP="00DD3144">
            <w:r>
              <w:t>X</w:t>
            </w:r>
          </w:p>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00EB9F2F" w:rsidR="00B0479E" w:rsidRDefault="00972816" w:rsidP="00DD3144">
            <w:r>
              <w:t>X</w:t>
            </w:r>
          </w:p>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6A468226" w:rsidR="00B0479E" w:rsidRDefault="00972816" w:rsidP="00DD3144">
            <w:r>
              <w:t>X</w:t>
            </w:r>
          </w:p>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03FF59E" w14:textId="2B93429F" w:rsidR="00972816" w:rsidRPr="00972816" w:rsidRDefault="00972816" w:rsidP="00972816">
            <w:r w:rsidRPr="00972816">
              <w:rPr>
                <w:b/>
                <w:bCs/>
              </w:rPr>
              <w:t>Targets for renewable energy:</w:t>
            </w:r>
            <w:r w:rsidRPr="00972816">
              <w:br/>
              <w:t>The plan recommends increasing the share of renewable energy in the national energy mix, referencing clean energy targets such as 27% by 2021 and 50% by 2050 (see Section 2.1, “National GHG Emissions Management System,” pp. 34–35)</w:t>
            </w:r>
          </w:p>
          <w:p w14:paraId="50BE80AB" w14:textId="12055A8A" w:rsidR="00972816" w:rsidRPr="00972816" w:rsidRDefault="00972816" w:rsidP="00972816">
            <w:proofErr w:type="gramStart"/>
            <w:r w:rsidRPr="00972816">
              <w:rPr>
                <w:b/>
                <w:bCs/>
              </w:rPr>
              <w:t>Targets</w:t>
            </w:r>
            <w:proofErr w:type="gramEnd"/>
            <w:r w:rsidRPr="00972816">
              <w:rPr>
                <w:b/>
                <w:bCs/>
              </w:rPr>
              <w:t xml:space="preserve"> or goals related to climate adaptation:</w:t>
            </w:r>
            <w:r w:rsidRPr="00972816">
              <w:br/>
              <w:t xml:space="preserve">The plan encourages setting adaptation goals to strengthen climate resilience, as discussed in Section 2.2, “National Adaptation Planning and Implementation,” which outlines the importance of national adaptation action programmes and regular stocktaking of adaptation progress (pp. 38–39) </w:t>
            </w:r>
          </w:p>
          <w:p w14:paraId="263820B0" w14:textId="54355443" w:rsidR="00B0479E" w:rsidRDefault="00972816" w:rsidP="00972816">
            <w:r w:rsidRPr="00972816">
              <w:rPr>
                <w:b/>
                <w:bCs/>
              </w:rPr>
              <w:t>Targets or goals related to nature and/or biodiversity:</w:t>
            </w:r>
            <w:r w:rsidRPr="00972816">
              <w:br/>
              <w:t>The plan supports the protection of ecosystems and biodiversity, referencing the establishment of protected areas and the expansion of blue carbon potential (see Section 2.2, “Implement adaptation actions,” p. 40)</w:t>
            </w: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lastRenderedPageBreak/>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265AD33B" w:rsidR="00EC42A1" w:rsidRDefault="00972816" w:rsidP="00DD3144">
            <w:r>
              <w:t>X</w:t>
            </w:r>
          </w:p>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2F8A11B0" w:rsidR="00EC42A1" w:rsidRDefault="00972816" w:rsidP="00DD3144">
            <w:r>
              <w:t>X</w:t>
            </w:r>
          </w:p>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5B4F1BAC" w:rsidR="00EC42A1" w:rsidRDefault="00972816" w:rsidP="00DD3144">
            <w:r>
              <w:t>X</w:t>
            </w:r>
          </w:p>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74C92D4C" w:rsidR="00EC42A1" w:rsidRDefault="00972816" w:rsidP="00DD3144">
            <w:r>
              <w:t>X</w:t>
            </w:r>
          </w:p>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4E57F96" w:rsidR="00EC42A1" w:rsidRDefault="00972816"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770E0236" w:rsidR="00484663" w:rsidRDefault="00D512EB" w:rsidP="00DD3144">
            <w:r>
              <w:t>X</w:t>
            </w:r>
          </w:p>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lastRenderedPageBreak/>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7777A5E9" w:rsidR="00484663" w:rsidRDefault="00D512EB" w:rsidP="00DD3144">
            <w:r>
              <w:t>X</w:t>
            </w:r>
          </w:p>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6C7C15A4" w:rsidR="00484663" w:rsidRDefault="00D512EB" w:rsidP="00DD3144">
            <w:r>
              <w:t>X</w:t>
            </w:r>
          </w:p>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6F57360D" w:rsidR="00484663" w:rsidRDefault="00D512EB"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7FC18C20" w:rsidR="00484663" w:rsidRDefault="00D512EB" w:rsidP="00DD3144">
            <w:r>
              <w:t>X</w:t>
            </w:r>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46104547" w:rsidR="00484663" w:rsidRDefault="00D512EB" w:rsidP="00DD3144">
            <w:r>
              <w:t>X</w:t>
            </w:r>
          </w:p>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793E87BC" w:rsidR="00484663" w:rsidRDefault="00D512EB" w:rsidP="00DD3144">
            <w:r>
              <w:t>X</w:t>
            </w:r>
          </w:p>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6EEA3A6B" w:rsidR="00484663" w:rsidRDefault="00D512EB" w:rsidP="00DD3144">
            <w:r>
              <w:t>X</w:t>
            </w:r>
          </w:p>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lastRenderedPageBreak/>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60280430" w:rsidR="00484663" w:rsidRDefault="00D512EB" w:rsidP="00DD3144">
            <w:r>
              <w:t>X</w:t>
            </w:r>
          </w:p>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A3598E6" w:rsidR="00484663" w:rsidRDefault="00D512EB" w:rsidP="00DD3144">
            <w:r>
              <w:t>X</w:t>
            </w:r>
          </w:p>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537AC3C" w:rsidR="00484663" w:rsidRDefault="00D512EB" w:rsidP="00DD3144">
            <w:r>
              <w:t>X</w:t>
            </w:r>
          </w:p>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3D75D39" w:rsidR="00484663" w:rsidRDefault="00D512EB" w:rsidP="00DD3144">
            <w:r>
              <w:t>X</w:t>
            </w:r>
          </w:p>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28205569" w:rsidR="00484663" w:rsidRDefault="00D512EB" w:rsidP="00DD3144">
            <w:r>
              <w:t>X</w:t>
            </w:r>
          </w:p>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B7960CD" w:rsidR="00484663" w:rsidRDefault="00D512EB" w:rsidP="00DD3144">
            <w:r>
              <w:t>X</w:t>
            </w:r>
          </w:p>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A83997F" w:rsidR="00484663" w:rsidRDefault="00D512EB" w:rsidP="00DD3144">
            <w:r>
              <w:t>X</w:t>
            </w:r>
          </w:p>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25A49540" w:rsidR="00484663" w:rsidRDefault="00D512EB" w:rsidP="00DD3144">
            <w:r>
              <w:t>X</w:t>
            </w:r>
          </w:p>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35FE7252" w:rsidR="00484663" w:rsidRDefault="00D512EB" w:rsidP="00DD3144">
            <w:r>
              <w:t>X</w:t>
            </w:r>
          </w:p>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lastRenderedPageBreak/>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2BE24C69" w:rsidR="00DA416F" w:rsidRPr="00DD3144" w:rsidRDefault="00D512EB"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39A2E17" w:rsidR="00DA416F" w:rsidRPr="00DD3144" w:rsidRDefault="00D512EB"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6CE6E8F1" w:rsidR="00DA416F" w:rsidRPr="00DD3144" w:rsidRDefault="00D512EB"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183556B" w:rsidR="00DA416F" w:rsidRPr="00DD3144" w:rsidRDefault="00D512EB" w:rsidP="00DD3144">
            <w:pPr>
              <w:keepNext/>
              <w:rPr>
                <w:rFonts w:ascii="Calibri" w:hAnsi="Calibri" w:cs="Calibri"/>
              </w:rPr>
            </w:pPr>
            <w:r>
              <w:rPr>
                <w:rFonts w:ascii="Calibri" w:hAnsi="Calibri" w:cs="Calibri"/>
              </w:rPr>
              <w:t>X</w:t>
            </w: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5670CB0D" w:rsidR="00DA416F" w:rsidRPr="00DD3144" w:rsidRDefault="00D512EB" w:rsidP="00DD3144">
            <w:pPr>
              <w:keepNext/>
              <w:rPr>
                <w:rFonts w:ascii="Calibri" w:hAnsi="Calibri" w:cs="Calibri"/>
              </w:rPr>
            </w:pPr>
            <w:r>
              <w:rPr>
                <w:rFonts w:ascii="Calibri" w:hAnsi="Calibri" w:cs="Calibri"/>
              </w:rPr>
              <w:t>X</w:t>
            </w: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402AA231" w:rsidR="00DA416F" w:rsidRPr="00DD3144" w:rsidRDefault="00D512EB"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3E9CFDEE" w:rsidR="00DA416F" w:rsidRPr="00DD3144" w:rsidRDefault="00D512EB"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27C65BEB" w:rsidR="00DA416F" w:rsidRPr="00DD3144" w:rsidRDefault="00D512EB"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FC112A5" w:rsidR="00DA416F" w:rsidRPr="00DD3144" w:rsidRDefault="00D512EB"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2CF540B3" w:rsidR="00DA416F" w:rsidRPr="00DD3144" w:rsidRDefault="00D512EB"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57BFD723" w:rsidR="00DA416F" w:rsidRPr="00DD3144" w:rsidRDefault="00D512EB"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5AD37D2" w:rsidR="00DA416F" w:rsidRPr="00DD3144" w:rsidRDefault="00D512EB"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114378E4" w:rsidR="00DA416F" w:rsidRPr="00DD3144" w:rsidRDefault="00D512EB"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64817135" w:rsidR="00DA416F" w:rsidRPr="00DD3144" w:rsidRDefault="00D512EB"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565EABE" w14:textId="38C3C973" w:rsidR="00D512EB" w:rsidRPr="00D512EB" w:rsidRDefault="00D512EB" w:rsidP="00D512EB">
            <w:pPr>
              <w:rPr>
                <w:rFonts w:ascii="Calibri" w:hAnsi="Calibri" w:cs="Calibri"/>
              </w:rPr>
            </w:pPr>
            <w:r w:rsidRPr="00D512EB">
              <w:rPr>
                <w:rFonts w:ascii="Calibri" w:hAnsi="Calibri" w:cs="Calibri"/>
                <w:b/>
                <w:bCs/>
              </w:rPr>
              <w:t>United Nations Framework Convention on Climate Change (UNFCCC):</w:t>
            </w:r>
            <w:r w:rsidRPr="00D512EB">
              <w:rPr>
                <w:rFonts w:ascii="Calibri" w:hAnsi="Calibri" w:cs="Calibri"/>
              </w:rPr>
              <w:br/>
              <w:t xml:space="preserve">The </w:t>
            </w:r>
            <w:r>
              <w:rPr>
                <w:rFonts w:ascii="Calibri" w:hAnsi="Calibri" w:cs="Calibri"/>
              </w:rPr>
              <w:t>policy tool</w:t>
            </w:r>
            <w:r w:rsidRPr="00D512EB">
              <w:rPr>
                <w:rFonts w:ascii="Calibri" w:hAnsi="Calibri" w:cs="Calibri"/>
              </w:rPr>
              <w:t xml:space="preserve"> aligns with the reporting and inventory requirements of the UNFCCC.</w:t>
            </w:r>
            <w:r w:rsidRPr="00D512EB">
              <w:rPr>
                <w:rFonts w:ascii="Calibri" w:hAnsi="Calibri" w:cs="Calibri"/>
              </w:rPr>
              <w:br/>
            </w:r>
            <w:hyperlink r:id="rId18" w:tgtFrame="_blank" w:history="1">
              <w:r w:rsidRPr="00D512EB">
                <w:rPr>
                  <w:rStyle w:val="Hyperlink"/>
                  <w:rFonts w:ascii="Calibri" w:hAnsi="Calibri" w:cs="Calibri"/>
                </w:rPr>
                <w:t>Web-archived link</w:t>
              </w:r>
            </w:hyperlink>
          </w:p>
          <w:p w14:paraId="61EB6233" w14:textId="2F547E23" w:rsidR="00D512EB" w:rsidRPr="00D512EB" w:rsidRDefault="00D512EB" w:rsidP="00D512EB">
            <w:pPr>
              <w:rPr>
                <w:rFonts w:ascii="Calibri" w:hAnsi="Calibri" w:cs="Calibri"/>
              </w:rPr>
            </w:pPr>
            <w:r w:rsidRPr="00D512EB">
              <w:rPr>
                <w:rFonts w:ascii="Calibri" w:hAnsi="Calibri" w:cs="Calibri"/>
                <w:b/>
                <w:bCs/>
              </w:rPr>
              <w:t>Paris Agreement:</w:t>
            </w:r>
            <w:r w:rsidRPr="00D512EB">
              <w:rPr>
                <w:rFonts w:ascii="Calibri" w:hAnsi="Calibri" w:cs="Calibri"/>
              </w:rPr>
              <w:br/>
              <w:t xml:space="preserve">The </w:t>
            </w:r>
            <w:r>
              <w:rPr>
                <w:rFonts w:ascii="Calibri" w:hAnsi="Calibri" w:cs="Calibri"/>
              </w:rPr>
              <w:t>policy tool</w:t>
            </w:r>
            <w:r w:rsidRPr="00D512EB">
              <w:rPr>
                <w:rFonts w:ascii="Calibri" w:hAnsi="Calibri" w:cs="Calibri"/>
              </w:rPr>
              <w:t xml:space="preserve"> supports the UAE’s commitments under the Paris Agreement, including Nationally Determined Contributions (NDCs) and periodic reporting.</w:t>
            </w:r>
            <w:r w:rsidRPr="00D512EB">
              <w:rPr>
                <w:rFonts w:ascii="Calibri" w:hAnsi="Calibri" w:cs="Calibri"/>
              </w:rPr>
              <w:br/>
            </w:r>
            <w:hyperlink r:id="rId19" w:tgtFrame="_blank" w:history="1">
              <w:r w:rsidRPr="00D512EB">
                <w:rPr>
                  <w:rStyle w:val="Hyperlink"/>
                  <w:rFonts w:ascii="Calibri" w:hAnsi="Calibri" w:cs="Calibri"/>
                </w:rPr>
                <w:t>Web-archived link</w:t>
              </w:r>
            </w:hyperlink>
          </w:p>
          <w:p w14:paraId="1E231D04" w14:textId="2BB6155E" w:rsidR="00D512EB" w:rsidRPr="00D512EB" w:rsidRDefault="00D512EB" w:rsidP="00D512EB">
            <w:pPr>
              <w:rPr>
                <w:rFonts w:ascii="Calibri" w:hAnsi="Calibri" w:cs="Calibri"/>
              </w:rPr>
            </w:pPr>
            <w:r w:rsidRPr="00D512EB">
              <w:rPr>
                <w:rFonts w:ascii="Calibri" w:hAnsi="Calibri" w:cs="Calibri"/>
                <w:b/>
                <w:bCs/>
              </w:rPr>
              <w:t>Kyoto Protocol:</w:t>
            </w:r>
            <w:r w:rsidRPr="00D512EB">
              <w:rPr>
                <w:rFonts w:ascii="Calibri" w:hAnsi="Calibri" w:cs="Calibri"/>
              </w:rPr>
              <w:br/>
              <w:t xml:space="preserve">The </w:t>
            </w:r>
            <w:r>
              <w:rPr>
                <w:rFonts w:ascii="Calibri" w:hAnsi="Calibri" w:cs="Calibri"/>
              </w:rPr>
              <w:t>policy tool</w:t>
            </w:r>
            <w:r w:rsidRPr="00D512EB">
              <w:rPr>
                <w:rFonts w:ascii="Calibri" w:hAnsi="Calibri" w:cs="Calibri"/>
              </w:rPr>
              <w:t xml:space="preserve"> references the UAE’s accession to the Kyoto Protocol and related reporting obligations.</w:t>
            </w:r>
            <w:r w:rsidRPr="00D512EB">
              <w:rPr>
                <w:rFonts w:ascii="Calibri" w:hAnsi="Calibri" w:cs="Calibri"/>
              </w:rPr>
              <w:br/>
            </w:r>
            <w:hyperlink r:id="rId20" w:tgtFrame="_blank" w:history="1">
              <w:r w:rsidRPr="00D512EB">
                <w:rPr>
                  <w:rStyle w:val="Hyperlink"/>
                  <w:rFonts w:ascii="Calibri" w:hAnsi="Calibri" w:cs="Calibri"/>
                </w:rPr>
                <w:t>Web-archived link</w:t>
              </w:r>
            </w:hyperlink>
          </w:p>
          <w:p w14:paraId="441CD7CD" w14:textId="5932E207" w:rsidR="00D512EB" w:rsidRPr="00D512EB" w:rsidRDefault="00D512EB" w:rsidP="00D512EB">
            <w:pPr>
              <w:rPr>
                <w:rFonts w:ascii="Calibri" w:hAnsi="Calibri" w:cs="Calibri"/>
              </w:rPr>
            </w:pPr>
            <w:r w:rsidRPr="00D512EB">
              <w:rPr>
                <w:rFonts w:ascii="Calibri" w:hAnsi="Calibri" w:cs="Calibri"/>
                <w:b/>
                <w:bCs/>
              </w:rPr>
              <w:lastRenderedPageBreak/>
              <w:t>Sustainable Development Goals (SDGs):</w:t>
            </w:r>
            <w:r w:rsidRPr="00D512EB">
              <w:rPr>
                <w:rFonts w:ascii="Calibri" w:hAnsi="Calibri" w:cs="Calibri"/>
              </w:rPr>
              <w:br/>
              <w:t xml:space="preserve">The </w:t>
            </w:r>
            <w:r>
              <w:rPr>
                <w:rFonts w:ascii="Calibri" w:hAnsi="Calibri" w:cs="Calibri"/>
              </w:rPr>
              <w:t>policy tool</w:t>
            </w:r>
            <w:r w:rsidRPr="00D512EB">
              <w:rPr>
                <w:rFonts w:ascii="Calibri" w:hAnsi="Calibri" w:cs="Calibri"/>
              </w:rPr>
              <w:t xml:space="preserve"> refers to the SDGs, particularly SDG 13 (Climate Action), as part of its broader sustainability context.</w:t>
            </w:r>
            <w:r w:rsidRPr="00D512EB">
              <w:rPr>
                <w:rFonts w:ascii="Calibri" w:hAnsi="Calibri" w:cs="Calibri"/>
              </w:rPr>
              <w:br/>
            </w:r>
            <w:hyperlink r:id="rId21" w:tgtFrame="_blank" w:history="1">
              <w:r w:rsidRPr="00D512EB">
                <w:rPr>
                  <w:rStyle w:val="Hyperlink"/>
                  <w:rFonts w:ascii="Calibri" w:hAnsi="Calibri" w:cs="Calibri"/>
                </w:rPr>
                <w:t>Web-archived link</w:t>
              </w:r>
            </w:hyperlink>
          </w:p>
          <w:p w14:paraId="799C1AA4" w14:textId="272BF39E" w:rsidR="004B1F6B" w:rsidRPr="00DD3144" w:rsidRDefault="00D512EB" w:rsidP="00D512EB">
            <w:pPr>
              <w:rPr>
                <w:rFonts w:ascii="Calibri" w:hAnsi="Calibri" w:cs="Calibri"/>
              </w:rPr>
            </w:pPr>
            <w:r w:rsidRPr="00D512EB">
              <w:rPr>
                <w:rFonts w:ascii="Calibri" w:hAnsi="Calibri" w:cs="Calibri"/>
                <w:b/>
                <w:bCs/>
              </w:rPr>
              <w:t>National Communications and Biennial Update Reports (BURs):</w:t>
            </w:r>
            <w:r w:rsidRPr="00D512EB">
              <w:rPr>
                <w:rFonts w:ascii="Calibri" w:hAnsi="Calibri" w:cs="Calibri"/>
              </w:rPr>
              <w:br/>
              <w:t xml:space="preserve">The </w:t>
            </w:r>
            <w:r>
              <w:rPr>
                <w:rFonts w:ascii="Calibri" w:hAnsi="Calibri" w:cs="Calibri"/>
              </w:rPr>
              <w:t>policy tool</w:t>
            </w:r>
            <w:r w:rsidRPr="00D512EB">
              <w:rPr>
                <w:rFonts w:ascii="Calibri" w:hAnsi="Calibri" w:cs="Calibri"/>
              </w:rPr>
              <w:t xml:space="preserve"> references these UNFCCC reporting mechanisms as essential components of the national climate change management system.</w:t>
            </w:r>
            <w:r w:rsidRPr="00D512EB">
              <w:rPr>
                <w:rFonts w:ascii="Calibri" w:hAnsi="Calibri" w:cs="Calibri"/>
              </w:rPr>
              <w:br/>
            </w:r>
            <w:hyperlink r:id="rId22" w:tgtFrame="_blank" w:history="1">
              <w:r w:rsidRPr="00D512EB">
                <w:rPr>
                  <w:rStyle w:val="Hyperlink"/>
                  <w:rFonts w:ascii="Calibri" w:hAnsi="Calibri" w:cs="Calibri"/>
                </w:rPr>
                <w:t>Web-archived link</w:t>
              </w:r>
            </w:hyperlink>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14F98F7C" w:rsidR="00C4670C" w:rsidRPr="00C37D48" w:rsidRDefault="00126F26" w:rsidP="00C37D48">
            <w:pPr>
              <w:rPr>
                <w:rFonts w:ascii="Calibri" w:hAnsi="Calibri" w:cs="Calibri"/>
              </w:rPr>
            </w:pPr>
            <w:r>
              <w:rPr>
                <w:rFonts w:ascii="Calibri" w:hAnsi="Calibri" w:cs="Calibri"/>
              </w:rPr>
              <w:t>X</w:t>
            </w: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45025393" w:rsidR="00C4670C" w:rsidRPr="00C37D48" w:rsidRDefault="00126F26" w:rsidP="00C37D48">
            <w:pPr>
              <w:rPr>
                <w:rFonts w:ascii="Calibri" w:hAnsi="Calibri" w:cs="Calibri"/>
              </w:rPr>
            </w:pPr>
            <w:r>
              <w:rPr>
                <w:rFonts w:ascii="Calibri" w:hAnsi="Calibri" w:cs="Calibri"/>
              </w:rPr>
              <w:t>X</w:t>
            </w: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054D0BD8" w:rsidR="00C4670C" w:rsidRPr="00C37D48" w:rsidRDefault="00126F26" w:rsidP="00C37D48">
            <w:pPr>
              <w:rPr>
                <w:rFonts w:ascii="Calibri" w:hAnsi="Calibri" w:cs="Calibri"/>
              </w:rPr>
            </w:pPr>
            <w:r>
              <w:rPr>
                <w:rFonts w:ascii="Calibri" w:hAnsi="Calibri" w:cs="Calibri"/>
              </w:rPr>
              <w:t>X</w:t>
            </w: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CBFDFC" w:rsidR="00C4670C" w:rsidRPr="00C37D48" w:rsidRDefault="00126F26" w:rsidP="00C37D48">
            <w:pPr>
              <w:rPr>
                <w:rFonts w:ascii="Calibri" w:hAnsi="Calibri" w:cs="Calibri"/>
              </w:rPr>
            </w:pPr>
            <w:r>
              <w:rPr>
                <w:rFonts w:ascii="Calibri" w:hAnsi="Calibri" w:cs="Calibri"/>
              </w:rPr>
              <w:t>X</w:t>
            </w: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67DBA64E" w:rsidR="00C4670C" w:rsidRPr="00C37D48" w:rsidRDefault="00126F26" w:rsidP="00C37D48">
            <w:pPr>
              <w:rPr>
                <w:rFonts w:ascii="Calibri" w:hAnsi="Calibri" w:cs="Calibri"/>
              </w:rPr>
            </w:pPr>
            <w:r>
              <w:rPr>
                <w:rFonts w:ascii="Calibri" w:hAnsi="Calibri" w:cs="Calibri"/>
              </w:rPr>
              <w:t>X</w:t>
            </w: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087DE9E" w:rsidR="00C4670C" w:rsidRPr="00C37D48" w:rsidRDefault="00126F26" w:rsidP="00C37D48">
            <w:pPr>
              <w:rPr>
                <w:rFonts w:ascii="Calibri" w:hAnsi="Calibri" w:cs="Calibri"/>
              </w:rPr>
            </w:pPr>
            <w:r>
              <w:rPr>
                <w:rFonts w:ascii="Calibri" w:hAnsi="Calibri" w:cs="Calibri"/>
              </w:rPr>
              <w:t>X</w:t>
            </w: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27743CE6" w:rsidR="00C4670C" w:rsidRPr="00C37D48" w:rsidRDefault="00126F26"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315113CE" w:rsidR="00C4670C" w:rsidRPr="00C37D48" w:rsidRDefault="00126F26" w:rsidP="00C37D48">
            <w:pPr>
              <w:rPr>
                <w:rFonts w:ascii="Calibri" w:hAnsi="Calibri" w:cs="Calibri"/>
              </w:rPr>
            </w:pPr>
            <w:r>
              <w:rPr>
                <w:rFonts w:ascii="Calibri" w:hAnsi="Calibri" w:cs="Calibri"/>
              </w:rPr>
              <w:t>X</w:t>
            </w: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0E718DEC" w:rsidR="00C4670C" w:rsidRPr="00C37D48" w:rsidRDefault="00126F26" w:rsidP="00C37D48">
            <w:pPr>
              <w:rPr>
                <w:rFonts w:ascii="Calibri" w:hAnsi="Calibri" w:cs="Calibri"/>
              </w:rPr>
            </w:pPr>
            <w:r>
              <w:rPr>
                <w:rFonts w:ascii="Calibri" w:hAnsi="Calibri" w:cs="Calibri"/>
              </w:rPr>
              <w:t>X</w:t>
            </w: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355E402C" w:rsidR="00C4670C" w:rsidRPr="00C37D48" w:rsidRDefault="00126F26" w:rsidP="00C37D48">
            <w:pPr>
              <w:rPr>
                <w:rFonts w:ascii="Calibri" w:hAnsi="Calibri" w:cs="Calibri"/>
              </w:rPr>
            </w:pPr>
            <w:r>
              <w:rPr>
                <w:rFonts w:ascii="Calibri" w:hAnsi="Calibri" w:cs="Calibri"/>
              </w:rPr>
              <w:t>X</w:t>
            </w: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BD09C9E" w:rsidR="00C4670C" w:rsidRPr="00C37D48" w:rsidRDefault="00126F26" w:rsidP="00C37D48">
            <w:pPr>
              <w:rPr>
                <w:rFonts w:ascii="Calibri" w:hAnsi="Calibri" w:cs="Calibri"/>
              </w:rPr>
            </w:pPr>
            <w:r>
              <w:rPr>
                <w:rFonts w:ascii="Calibri" w:hAnsi="Calibri" w:cs="Calibri"/>
              </w:rPr>
              <w:t>X</w:t>
            </w: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0D1541ED" w:rsidR="00C4670C" w:rsidRPr="00C37D48" w:rsidRDefault="00126F26" w:rsidP="00C37D48">
            <w:pPr>
              <w:rPr>
                <w:rFonts w:ascii="Calibri" w:hAnsi="Calibri" w:cs="Calibri"/>
              </w:rPr>
            </w:pPr>
            <w:r>
              <w:rPr>
                <w:rFonts w:ascii="Calibri" w:hAnsi="Calibri" w:cs="Calibri"/>
              </w:rPr>
              <w:t>X</w:t>
            </w: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038EE390" w:rsidR="00C4670C" w:rsidRPr="00C37D48" w:rsidRDefault="00126F26"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09DA84EC" w:rsidR="004F276F" w:rsidRPr="00C37D48" w:rsidRDefault="00126F26" w:rsidP="00C37D48">
            <w:pPr>
              <w:rPr>
                <w:rFonts w:ascii="Calibri" w:hAnsi="Calibri" w:cs="Calibri"/>
              </w:rPr>
            </w:pPr>
            <w:r>
              <w:rPr>
                <w:rFonts w:ascii="Calibri" w:hAnsi="Calibri" w:cs="Calibri"/>
              </w:rPr>
              <w:t>X</w:t>
            </w: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1F29FDB8" w:rsidR="004F276F" w:rsidRPr="00C37D48" w:rsidRDefault="00126F26" w:rsidP="00C37D48">
            <w:pPr>
              <w:rPr>
                <w:rFonts w:ascii="Calibri" w:hAnsi="Calibri" w:cs="Calibri"/>
              </w:rPr>
            </w:pPr>
            <w:r>
              <w:rPr>
                <w:rFonts w:ascii="Calibri" w:hAnsi="Calibri" w:cs="Calibri"/>
              </w:rPr>
              <w:t>X</w:t>
            </w: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28F74739" w:rsidR="004F276F" w:rsidRPr="00C37D48" w:rsidRDefault="00126F26" w:rsidP="00C37D48">
            <w:pPr>
              <w:rPr>
                <w:rFonts w:ascii="Calibri" w:hAnsi="Calibri" w:cs="Calibri"/>
              </w:rPr>
            </w:pPr>
            <w:r>
              <w:rPr>
                <w:rFonts w:ascii="Calibri" w:hAnsi="Calibri" w:cs="Calibri"/>
              </w:rPr>
              <w:t>X</w:t>
            </w: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31742535" w:rsidR="004F276F" w:rsidRPr="00C37D48" w:rsidRDefault="00126F26" w:rsidP="00C37D48">
            <w:pPr>
              <w:rPr>
                <w:rFonts w:ascii="Calibri" w:hAnsi="Calibri" w:cs="Calibri"/>
              </w:rPr>
            </w:pPr>
            <w:r>
              <w:rPr>
                <w:rFonts w:ascii="Calibri" w:hAnsi="Calibri" w:cs="Calibri"/>
              </w:rPr>
              <w:t>X</w:t>
            </w: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4FC43161" w:rsidR="004F276F" w:rsidRPr="00C37D48" w:rsidRDefault="00126F26" w:rsidP="00C37D48">
            <w:pPr>
              <w:rPr>
                <w:rFonts w:ascii="Calibri" w:hAnsi="Calibri" w:cs="Calibri"/>
              </w:rPr>
            </w:pPr>
            <w:r>
              <w:rPr>
                <w:rFonts w:ascii="Calibri" w:hAnsi="Calibri" w:cs="Calibri"/>
              </w:rPr>
              <w:t>X</w:t>
            </w: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34A728E3" w:rsidR="004F276F" w:rsidRPr="00C37D48" w:rsidRDefault="00126F26" w:rsidP="00C37D48">
            <w:pPr>
              <w:rPr>
                <w:rFonts w:ascii="Calibri" w:hAnsi="Calibri" w:cs="Calibri"/>
              </w:rPr>
            </w:pPr>
            <w:r>
              <w:rPr>
                <w:rFonts w:ascii="Calibri" w:hAnsi="Calibri" w:cs="Calibri"/>
              </w:rPr>
              <w:t>X</w:t>
            </w: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287C1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040B452E" w:rsidR="004F276F" w:rsidRPr="00C37D48" w:rsidRDefault="00126F26" w:rsidP="00C37D48">
            <w:pPr>
              <w:rPr>
                <w:rFonts w:ascii="Calibri" w:hAnsi="Calibri" w:cs="Calibri"/>
              </w:rPr>
            </w:pPr>
            <w:r>
              <w:rPr>
                <w:rFonts w:ascii="Calibri" w:hAnsi="Calibri" w:cs="Calibri"/>
              </w:rPr>
              <w:t>X</w:t>
            </w: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1FC00F3" w:rsidR="001F30DE" w:rsidRPr="00C37D48" w:rsidRDefault="00A822F6"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4B7DA7D2" w14:textId="77777777" w:rsidR="00A822F6" w:rsidRPr="000245F2" w:rsidRDefault="00A822F6" w:rsidP="00A822F6">
            <w:pPr>
              <w:spacing w:line="276" w:lineRule="auto"/>
              <w:rPr>
                <w:color w:val="000000" w:themeColor="text1"/>
              </w:rPr>
            </w:pPr>
            <w:r w:rsidRPr="000245F2">
              <w:rPr>
                <w:color w:val="000000" w:themeColor="text1"/>
              </w:rPr>
              <w:t>The plan calls for the development of systems such as the National Climate Change Management System (</w:t>
            </w:r>
            <w:r w:rsidRPr="000245F2">
              <w:rPr>
                <w:b/>
                <w:bCs/>
                <w:color w:val="000000" w:themeColor="text1"/>
              </w:rPr>
              <w:t>NCCMS</w:t>
            </w:r>
            <w:r w:rsidRPr="000245F2">
              <w:rPr>
                <w:color w:val="000000" w:themeColor="text1"/>
              </w:rPr>
              <w:t>) and Measurement, Reporting, and Verification (</w:t>
            </w:r>
            <w:r w:rsidRPr="000245F2">
              <w:rPr>
                <w:b/>
                <w:bCs/>
                <w:color w:val="000000" w:themeColor="text1"/>
              </w:rPr>
              <w:t>MRV</w:t>
            </w:r>
            <w:r w:rsidRPr="000245F2">
              <w:rPr>
                <w:color w:val="000000" w:themeColor="text1"/>
              </w:rPr>
              <w:t>) frameworks, which are being established to improve data collection, reporting, and coordination.</w:t>
            </w:r>
          </w:p>
          <w:p w14:paraId="2E9BFF74" w14:textId="77777777" w:rsidR="00A822F6" w:rsidRPr="000245F2" w:rsidRDefault="00A822F6" w:rsidP="00A822F6">
            <w:pPr>
              <w:spacing w:line="276" w:lineRule="auto"/>
              <w:rPr>
                <w:color w:val="000000" w:themeColor="text1"/>
              </w:rPr>
            </w:pPr>
            <w:r w:rsidRPr="000245F2">
              <w:rPr>
                <w:color w:val="000000" w:themeColor="text1"/>
              </w:rPr>
              <w:t>It references the launch of public awareness campaigns, capacity-building programmes, and the allocation of resources to support green finance and innovation.</w:t>
            </w:r>
          </w:p>
          <w:p w14:paraId="31A3C8A7" w14:textId="77777777" w:rsidR="00A822F6" w:rsidRPr="000245F2" w:rsidRDefault="00A822F6" w:rsidP="00A822F6">
            <w:pPr>
              <w:spacing w:line="276" w:lineRule="auto"/>
              <w:rPr>
                <w:color w:val="000000" w:themeColor="text1"/>
              </w:rPr>
            </w:pPr>
            <w:r w:rsidRPr="000245F2">
              <w:rPr>
                <w:color w:val="000000" w:themeColor="text1"/>
              </w:rPr>
              <w:t>The Ministry of Climate Change and Environment (</w:t>
            </w:r>
            <w:r w:rsidRPr="000245F2">
              <w:rPr>
                <w:b/>
                <w:bCs/>
                <w:color w:val="000000" w:themeColor="text1"/>
              </w:rPr>
              <w:t>MOCCAE</w:t>
            </w:r>
            <w:r w:rsidRPr="000245F2">
              <w:rPr>
                <w:color w:val="000000" w:themeColor="text1"/>
              </w:rPr>
              <w:t>) and the UAE Council on Climate Change and Environment are responsible for overseeing the plan’s progress, which includes regular reviews and updates.</w:t>
            </w:r>
          </w:p>
          <w:p w14:paraId="3BA84EFA" w14:textId="73557B64" w:rsidR="001F30DE" w:rsidRPr="00C37D48" w:rsidRDefault="00A822F6" w:rsidP="00A822F6">
            <w:pPr>
              <w:rPr>
                <w:rFonts w:ascii="Calibri" w:hAnsi="Calibri" w:cs="Calibri"/>
              </w:rPr>
            </w:pPr>
            <w:r w:rsidRPr="000245F2">
              <w:rPr>
                <w:color w:val="000000" w:themeColor="text1"/>
              </w:rPr>
              <w:t>The plan also mentions the integration of climate action into national and emirate-level strategies, and the development of sector-specific initiatives and partnerships with the private sector</w:t>
            </w:r>
            <w:r>
              <w:rPr>
                <w:color w:val="000000" w:themeColor="text1"/>
              </w:rPr>
              <w:t>.</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4C7579C4" w:rsidR="001F30DE" w:rsidRPr="00C37D48" w:rsidRDefault="00A822F6"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lastRenderedPageBreak/>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51CD2AF8" w:rsidR="001F30DE" w:rsidRPr="00C37D48" w:rsidRDefault="00A822F6"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230487D5" w:rsidR="004F48E8" w:rsidRPr="00C37D48" w:rsidRDefault="00A822F6" w:rsidP="00C37D48">
            <w:pPr>
              <w:rPr>
                <w:rFonts w:ascii="Calibri" w:hAnsi="Calibri" w:cs="Calibri"/>
              </w:rPr>
            </w:pPr>
            <w:r>
              <w:rPr>
                <w:rFonts w:ascii="Calibri" w:hAnsi="Calibri" w:cs="Calibri"/>
              </w:rPr>
              <w:t>X</w:t>
            </w: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075FC54" w:rsidR="000A1365" w:rsidRPr="00C37D48" w:rsidRDefault="00A822F6" w:rsidP="00C37D48">
            <w:pPr>
              <w:rPr>
                <w:rFonts w:ascii="Calibri" w:hAnsi="Calibri" w:cs="Calibri"/>
              </w:rPr>
            </w:pPr>
            <w:r>
              <w:rPr>
                <w:rFonts w:ascii="Calibri" w:hAnsi="Calibri" w:cs="Calibri"/>
              </w:rPr>
              <w:t>X</w:t>
            </w: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lastRenderedPageBreak/>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1D41C282" w:rsidR="00850F36" w:rsidRPr="00C37D48" w:rsidRDefault="00A822F6" w:rsidP="00C37D48">
            <w:pPr>
              <w:rPr>
                <w:rFonts w:ascii="Calibri" w:hAnsi="Calibri" w:cs="Calibri"/>
              </w:rPr>
            </w:pPr>
            <w:r>
              <w:rPr>
                <w:rFonts w:ascii="Calibri" w:hAnsi="Calibri" w:cs="Calibri"/>
              </w:rPr>
              <w:t>X</w:t>
            </w: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ECFA8EC" w:rsidR="00850F36" w:rsidRPr="00C37D48" w:rsidRDefault="00A822F6" w:rsidP="00C37D48">
            <w:pPr>
              <w:rPr>
                <w:rFonts w:ascii="Calibri" w:hAnsi="Calibri" w:cs="Calibri"/>
              </w:rPr>
            </w:pPr>
            <w:r>
              <w:rPr>
                <w:rFonts w:ascii="Calibri" w:hAnsi="Calibri" w:cs="Calibri"/>
              </w:rPr>
              <w:t>X</w:t>
            </w: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F9072AC" w:rsidR="00850F36" w:rsidRPr="00C37D48" w:rsidRDefault="00A822F6" w:rsidP="00C37D48">
            <w:pPr>
              <w:rPr>
                <w:rFonts w:ascii="Calibri" w:hAnsi="Calibri" w:cs="Calibri"/>
              </w:rPr>
            </w:pPr>
            <w:r>
              <w:rPr>
                <w:rFonts w:ascii="Calibri" w:hAnsi="Calibri" w:cs="Calibri"/>
              </w:rPr>
              <w:t>X</w:t>
            </w: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638C23F2" w:rsidR="00850F36" w:rsidRPr="00C37D48" w:rsidRDefault="00A822F6" w:rsidP="00C37D48">
            <w:pPr>
              <w:rPr>
                <w:rFonts w:ascii="Calibri" w:hAnsi="Calibri" w:cs="Calibri"/>
              </w:rPr>
            </w:pPr>
            <w:r>
              <w:rPr>
                <w:rFonts w:ascii="Calibri" w:hAnsi="Calibri" w:cs="Calibri"/>
              </w:rPr>
              <w:t>X</w:t>
            </w: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124BF7AC" w:rsidR="00850F36" w:rsidRPr="00C37D48" w:rsidRDefault="00A822F6" w:rsidP="00C37D48">
            <w:pPr>
              <w:rPr>
                <w:rFonts w:ascii="Calibri" w:hAnsi="Calibri" w:cs="Calibri"/>
              </w:rPr>
            </w:pPr>
            <w:r>
              <w:rPr>
                <w:rFonts w:ascii="Calibri" w:hAnsi="Calibri" w:cs="Calibri"/>
              </w:rPr>
              <w:t>X</w:t>
            </w: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07694586" w:rsidR="00850F36" w:rsidRPr="00C37D48" w:rsidRDefault="00A822F6" w:rsidP="00C37D48">
            <w:pPr>
              <w:rPr>
                <w:rFonts w:ascii="Calibri" w:hAnsi="Calibri" w:cs="Calibri"/>
              </w:rPr>
            </w:pPr>
            <w:r>
              <w:rPr>
                <w:rFonts w:ascii="Calibri" w:hAnsi="Calibri" w:cs="Calibri"/>
              </w:rPr>
              <w:t>X</w:t>
            </w: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6C9CD675" w:rsidR="00850F36" w:rsidRPr="00C37D48" w:rsidRDefault="00A822F6" w:rsidP="00C37D48">
            <w:pPr>
              <w:rPr>
                <w:rFonts w:ascii="Calibri" w:hAnsi="Calibri" w:cs="Calibri"/>
              </w:rPr>
            </w:pPr>
            <w:r>
              <w:rPr>
                <w:rFonts w:ascii="Calibri" w:hAnsi="Calibri" w:cs="Calibri"/>
              </w:rPr>
              <w:t>X</w:t>
            </w: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343EB15E"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642731D2" w:rsidR="00850F36" w:rsidRPr="00C37D48" w:rsidRDefault="00A822F6" w:rsidP="00C37D48">
            <w:pPr>
              <w:rPr>
                <w:rFonts w:ascii="Calibri" w:hAnsi="Calibri" w:cs="Calibri"/>
              </w:rPr>
            </w:pPr>
            <w:r>
              <w:rPr>
                <w:rFonts w:ascii="Calibri" w:hAnsi="Calibri" w:cs="Calibri"/>
              </w:rPr>
              <w:t>X</w:t>
            </w: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4EAF3ADA" w:rsidR="00850F36" w:rsidRPr="00C37D48" w:rsidRDefault="00A822F6" w:rsidP="00C37D48">
            <w:pPr>
              <w:rPr>
                <w:rFonts w:ascii="Calibri" w:hAnsi="Calibri" w:cs="Calibri"/>
              </w:rPr>
            </w:pPr>
            <w:r>
              <w:rPr>
                <w:rFonts w:ascii="Calibri" w:hAnsi="Calibri" w:cs="Calibri"/>
              </w:rPr>
              <w:t>X</w:t>
            </w: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337196D0" w:rsidR="00850F36" w:rsidRPr="00C37D48" w:rsidRDefault="00A822F6" w:rsidP="00C37D48">
            <w:pPr>
              <w:rPr>
                <w:rFonts w:ascii="Calibri" w:hAnsi="Calibri" w:cs="Calibri"/>
              </w:rPr>
            </w:pPr>
            <w:r>
              <w:rPr>
                <w:rFonts w:ascii="Calibri" w:hAnsi="Calibri" w:cs="Calibri"/>
              </w:rPr>
              <w:t>X</w:t>
            </w: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27B36655" w:rsidR="00850F36" w:rsidRPr="00C37D48" w:rsidRDefault="00A822F6" w:rsidP="00C37D48">
            <w:pPr>
              <w:rPr>
                <w:rFonts w:ascii="Calibri" w:hAnsi="Calibri" w:cs="Calibri"/>
              </w:rPr>
            </w:pPr>
            <w:r>
              <w:rPr>
                <w:rFonts w:ascii="Calibri" w:hAnsi="Calibri" w:cs="Calibri"/>
              </w:rPr>
              <w:t>X</w:t>
            </w: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28698A45" w:rsidR="00850F36" w:rsidRPr="00C37D48" w:rsidRDefault="00A822F6"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73EA462A" w:rsidR="00850F36" w:rsidRPr="00C37D48" w:rsidRDefault="00A822F6" w:rsidP="00C37D48">
            <w:pPr>
              <w:rPr>
                <w:rFonts w:ascii="Calibri" w:hAnsi="Calibri" w:cs="Calibri"/>
              </w:rPr>
            </w:pPr>
            <w:r>
              <w:rPr>
                <w:rFonts w:ascii="Calibri" w:hAnsi="Calibri" w:cs="Calibri"/>
              </w:rPr>
              <w:t>X</w:t>
            </w: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62E91289" w14:textId="58CBD7BA" w:rsidR="00440232" w:rsidRPr="00440232" w:rsidRDefault="00440232" w:rsidP="00440232">
            <w:pPr>
              <w:rPr>
                <w:rFonts w:ascii="Calibri" w:hAnsi="Calibri" w:cs="Calibri"/>
              </w:rPr>
            </w:pPr>
            <w:r w:rsidRPr="00440232">
              <w:rPr>
                <w:rFonts w:ascii="Calibri" w:hAnsi="Calibri" w:cs="Calibri"/>
                <w:b/>
                <w:bCs/>
              </w:rPr>
              <w:t>Absolute, intensity-based, net zero, sectoral, non-carbon GHG, and Scope 3 emissions targets:</w:t>
            </w:r>
            <w:r w:rsidRPr="00440232">
              <w:rPr>
                <w:rFonts w:ascii="Calibri" w:hAnsi="Calibri" w:cs="Calibri"/>
              </w:rPr>
              <w:br/>
              <w:t xml:space="preserve">Section 2.1, “National GHG Emissions Management System,” recommends setting comprehensive emissions reduction targets, covering all sectors and gases, and aligning with international best practices (Section 2.1, Way Forward, pp. 36–37) </w:t>
            </w:r>
          </w:p>
          <w:p w14:paraId="2278F248" w14:textId="1F1FD34A" w:rsidR="00440232" w:rsidRPr="00440232" w:rsidRDefault="00440232" w:rsidP="00440232">
            <w:pPr>
              <w:rPr>
                <w:rFonts w:ascii="Calibri" w:hAnsi="Calibri" w:cs="Calibri"/>
              </w:rPr>
            </w:pPr>
            <w:r w:rsidRPr="00440232">
              <w:rPr>
                <w:rFonts w:ascii="Calibri" w:hAnsi="Calibri" w:cs="Calibri"/>
                <w:b/>
                <w:bCs/>
              </w:rPr>
              <w:t>Targets for renewable energy procurement:</w:t>
            </w:r>
            <w:r w:rsidRPr="00440232">
              <w:rPr>
                <w:rFonts w:ascii="Calibri" w:hAnsi="Calibri" w:cs="Calibri"/>
              </w:rPr>
              <w:br/>
              <w:t xml:space="preserve">Section 2.1 specifically references national renewable energy targets, such as 27% by 2021 and 50% by 2050, and encourages entities to set similar goals (Section 2.1, p. 34) </w:t>
            </w:r>
          </w:p>
          <w:p w14:paraId="14F365D6" w14:textId="22F973C2" w:rsidR="00440232" w:rsidRPr="00440232" w:rsidRDefault="00440232" w:rsidP="00440232">
            <w:pPr>
              <w:rPr>
                <w:rFonts w:ascii="Calibri" w:hAnsi="Calibri" w:cs="Calibri"/>
              </w:rPr>
            </w:pPr>
            <w:r w:rsidRPr="00440232">
              <w:rPr>
                <w:rFonts w:ascii="Calibri" w:hAnsi="Calibri" w:cs="Calibri"/>
                <w:b/>
                <w:bCs/>
              </w:rPr>
              <w:t>Separate targets for GHG offsets and/or removals:</w:t>
            </w:r>
            <w:r w:rsidRPr="00440232">
              <w:rPr>
                <w:rFonts w:ascii="Calibri" w:hAnsi="Calibri" w:cs="Calibri"/>
              </w:rPr>
              <w:br/>
              <w:t xml:space="preserve">Section 2.1 also recommends accounting for carbon sinks and setting targets for offsets and removals as part of the MRV system (Section 2.1, Way Forward, pp. 36–37) </w:t>
            </w:r>
          </w:p>
          <w:p w14:paraId="589686A0" w14:textId="56DAA3F4" w:rsidR="00440232" w:rsidRPr="00440232" w:rsidRDefault="00440232" w:rsidP="00440232">
            <w:pPr>
              <w:rPr>
                <w:rFonts w:ascii="Calibri" w:hAnsi="Calibri" w:cs="Calibri"/>
              </w:rPr>
            </w:pPr>
            <w:r w:rsidRPr="00440232">
              <w:rPr>
                <w:rFonts w:ascii="Calibri" w:hAnsi="Calibri" w:cs="Calibri"/>
                <w:b/>
                <w:bCs/>
              </w:rPr>
              <w:lastRenderedPageBreak/>
              <w:t>Targets or goals related to climate adaptation:</w:t>
            </w:r>
            <w:r w:rsidRPr="00440232">
              <w:rPr>
                <w:rFonts w:ascii="Calibri" w:hAnsi="Calibri" w:cs="Calibri"/>
              </w:rPr>
              <w:br/>
              <w:t xml:space="preserve">Section 2.2, “National Adaptation Planning and Implementation,” recommends setting and regularly updating adaptation targets through the National Adaptation Action Program (Section 2.2, p. 39) </w:t>
            </w:r>
          </w:p>
          <w:p w14:paraId="20CA8168" w14:textId="290D1A8A" w:rsidR="00D9431B" w:rsidRPr="00C37D48" w:rsidRDefault="00440232" w:rsidP="00440232">
            <w:pPr>
              <w:rPr>
                <w:rFonts w:ascii="Calibri" w:hAnsi="Calibri" w:cs="Calibri"/>
              </w:rPr>
            </w:pPr>
            <w:r w:rsidRPr="00440232">
              <w:rPr>
                <w:rFonts w:ascii="Calibri" w:hAnsi="Calibri" w:cs="Calibri"/>
                <w:b/>
                <w:bCs/>
              </w:rPr>
              <w:t>Targets or goals related to nature and/or biodiversity:</w:t>
            </w:r>
            <w:r w:rsidRPr="00440232">
              <w:rPr>
                <w:rFonts w:ascii="Calibri" w:hAnsi="Calibri" w:cs="Calibri"/>
              </w:rPr>
              <w:br/>
              <w:t xml:space="preserve">Section 2.2 also supports setting targets for nature and biodiversity, such as establishing protected areas and expanding blue carbon potential (Section 2.2, p. 40) </w:t>
            </w: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3B1195FD" w:rsidR="000A1365" w:rsidRPr="00C37D48" w:rsidRDefault="00440232" w:rsidP="00C37D48">
            <w:pPr>
              <w:rPr>
                <w:rFonts w:ascii="Calibri" w:hAnsi="Calibri" w:cs="Calibri"/>
              </w:rPr>
            </w:pPr>
            <w:r>
              <w:rPr>
                <w:rFonts w:ascii="Calibri" w:hAnsi="Calibri" w:cs="Calibri"/>
              </w:rPr>
              <w:t>X</w:t>
            </w: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6FAB8747" w:rsidR="00C81DE5" w:rsidRPr="00C37D48" w:rsidRDefault="00440232"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5F84E556" w:rsidR="000A1365" w:rsidRPr="00C37D48" w:rsidRDefault="00440232" w:rsidP="00C37D48">
            <w:pPr>
              <w:rPr>
                <w:rFonts w:ascii="Calibri" w:hAnsi="Calibri" w:cs="Calibri"/>
              </w:rPr>
            </w:pPr>
            <w:r>
              <w:rPr>
                <w:rFonts w:ascii="Calibri" w:hAnsi="Calibri" w:cs="Calibri"/>
              </w:rPr>
              <w:t>X</w:t>
            </w: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7B926DE6" w:rsidR="000A1365" w:rsidRPr="00C37D48" w:rsidRDefault="00440232" w:rsidP="00C37D48">
            <w:pPr>
              <w:rPr>
                <w:rFonts w:ascii="Calibri" w:hAnsi="Calibri" w:cs="Calibri"/>
              </w:rPr>
            </w:pPr>
            <w:r>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71FBD0D4" w:rsidR="000A1365" w:rsidRPr="00C37D48" w:rsidRDefault="00440232" w:rsidP="00C37D48">
            <w:pPr>
              <w:rPr>
                <w:rFonts w:ascii="Calibri" w:hAnsi="Calibri" w:cs="Calibri"/>
              </w:rPr>
            </w:pPr>
            <w:r>
              <w:rPr>
                <w:rFonts w:ascii="Calibri" w:hAnsi="Calibri" w:cs="Calibri"/>
              </w:rPr>
              <w:t>X</w:t>
            </w: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38EE4C79" w:rsidR="000A1365" w:rsidRPr="00C37D48" w:rsidRDefault="00440232" w:rsidP="00440232">
            <w:pPr>
              <w:rPr>
                <w:rFonts w:ascii="Calibri" w:hAnsi="Calibri" w:cs="Calibri"/>
              </w:rPr>
            </w:pPr>
            <w:r w:rsidRPr="00440232">
              <w:rPr>
                <w:rFonts w:ascii="Calibri" w:hAnsi="Calibri" w:cs="Calibri"/>
              </w:rPr>
              <w:t>The plan recommends interim GHG reduction targets by encouraging progress tracking at milestones such as 2020, 2025, 2030, and 2050, as outlined in Section 1.5, “Structure” (pp. 26–27)</w:t>
            </w: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0A909D6B" w:rsidR="000A1365" w:rsidRPr="00C37D48" w:rsidRDefault="0009002A"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50D45432" w:rsidR="000A1365" w:rsidRPr="00C37D48" w:rsidRDefault="0009002A"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65DAF5D0"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7ABB1B70" w:rsidR="00D9431B" w:rsidRPr="00C37D48" w:rsidRDefault="0009002A"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46F19E8F" w:rsidR="00890032" w:rsidRPr="00C37D48" w:rsidRDefault="0009002A" w:rsidP="00C37D48">
            <w:pPr>
              <w:rPr>
                <w:rFonts w:ascii="Calibri" w:hAnsi="Calibri" w:cs="Calibri"/>
              </w:rPr>
            </w:pPr>
            <w:r>
              <w:rPr>
                <w:rFonts w:ascii="Calibri" w:hAnsi="Calibri" w:cs="Calibri"/>
              </w:rPr>
              <w:t>X</w:t>
            </w: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34C308E0" w:rsidR="003618D4" w:rsidRPr="00C37D48" w:rsidRDefault="0009002A" w:rsidP="00C37D48">
            <w:pPr>
              <w:rPr>
                <w:rFonts w:ascii="Calibri" w:hAnsi="Calibri" w:cs="Calibri"/>
              </w:rPr>
            </w:pPr>
            <w:r>
              <w:rPr>
                <w:rFonts w:ascii="Calibri" w:hAnsi="Calibri" w:cs="Calibri"/>
              </w:rPr>
              <w:t>X</w:t>
            </w: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39384A39" w:rsidR="003618D4" w:rsidRPr="00C37D48" w:rsidRDefault="0009002A" w:rsidP="00C37D48">
            <w:pPr>
              <w:rPr>
                <w:rFonts w:ascii="Calibri" w:hAnsi="Calibri" w:cs="Calibri"/>
              </w:rPr>
            </w:pPr>
            <w:r>
              <w:rPr>
                <w:rFonts w:ascii="Calibri" w:hAnsi="Calibri" w:cs="Calibri"/>
              </w:rPr>
              <w:t>X</w:t>
            </w: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3F84462C" w:rsidR="003618D4" w:rsidRPr="00C37D48" w:rsidRDefault="0009002A" w:rsidP="00C37D48">
            <w:pPr>
              <w:rPr>
                <w:rFonts w:ascii="Calibri" w:hAnsi="Calibri" w:cs="Calibri"/>
              </w:rPr>
            </w:pPr>
            <w:r>
              <w:rPr>
                <w:rFonts w:ascii="Calibri" w:hAnsi="Calibri" w:cs="Calibri"/>
              </w:rPr>
              <w:t>X</w:t>
            </w: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5084DB2D" w:rsidR="003618D4" w:rsidRPr="00C37D48" w:rsidRDefault="0009002A"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13D93B58" w:rsidR="003618D4" w:rsidRPr="00C37D48" w:rsidRDefault="0009002A"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0FC66B53" w:rsidR="003618D4" w:rsidRPr="00C37D48" w:rsidRDefault="0009002A" w:rsidP="00C37D48">
            <w:pPr>
              <w:rPr>
                <w:rFonts w:ascii="Calibri" w:hAnsi="Calibri" w:cs="Calibri"/>
              </w:rPr>
            </w:pPr>
            <w:r>
              <w:rPr>
                <w:rFonts w:ascii="Calibri" w:hAnsi="Calibri" w:cs="Calibri"/>
              </w:rPr>
              <w:t>X</w:t>
            </w: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04356CD5" w14:textId="45F680BC" w:rsidR="00EC25D2" w:rsidRPr="00EC25D2" w:rsidRDefault="00EC25D2" w:rsidP="00EC25D2">
            <w:pPr>
              <w:rPr>
                <w:rFonts w:ascii="Calibri" w:hAnsi="Calibri" w:cs="Calibri"/>
              </w:rPr>
            </w:pPr>
            <w:r w:rsidRPr="00EC25D2">
              <w:rPr>
                <w:rFonts w:ascii="Calibri" w:hAnsi="Calibri" w:cs="Calibri"/>
                <w:b/>
                <w:bCs/>
              </w:rPr>
              <w:t>Timeframe for the transition plan:</w:t>
            </w:r>
            <w:r w:rsidRPr="00EC25D2">
              <w:rPr>
                <w:rFonts w:ascii="Calibri" w:hAnsi="Calibri" w:cs="Calibri"/>
              </w:rPr>
              <w:br/>
              <w:t xml:space="preserve">Section 1.5, “Structure,” outlines a long-term timeline for climate action, with milestones </w:t>
            </w:r>
            <w:proofErr w:type="gramStart"/>
            <w:r w:rsidRPr="00EC25D2">
              <w:rPr>
                <w:rFonts w:ascii="Calibri" w:hAnsi="Calibri" w:cs="Calibri"/>
              </w:rPr>
              <w:t>at</w:t>
            </w:r>
            <w:proofErr w:type="gramEnd"/>
            <w:r w:rsidRPr="00EC25D2">
              <w:rPr>
                <w:rFonts w:ascii="Calibri" w:hAnsi="Calibri" w:cs="Calibri"/>
              </w:rPr>
              <w:t xml:space="preserve"> 2020, 2025, 2030, and 2050, and encourages entities to align their planning with these intervals (Section 1.5, pp. 26–27) </w:t>
            </w:r>
          </w:p>
          <w:p w14:paraId="109CCA99" w14:textId="57A837F4" w:rsidR="00EC25D2" w:rsidRPr="00EC25D2" w:rsidRDefault="00EC25D2" w:rsidP="00EC25D2">
            <w:pPr>
              <w:rPr>
                <w:rFonts w:ascii="Calibri" w:hAnsi="Calibri" w:cs="Calibri"/>
              </w:rPr>
            </w:pPr>
            <w:r w:rsidRPr="00EC25D2">
              <w:rPr>
                <w:rFonts w:ascii="Calibri" w:hAnsi="Calibri" w:cs="Calibri"/>
                <w:b/>
                <w:bCs/>
              </w:rPr>
              <w:t>Key performance indicators (KPIs) for monitoring transition plan implementation:</w:t>
            </w:r>
            <w:r w:rsidRPr="00EC25D2">
              <w:rPr>
                <w:rFonts w:ascii="Calibri" w:hAnsi="Calibri" w:cs="Calibri"/>
              </w:rPr>
              <w:br/>
              <w:t xml:space="preserve">Section 1.6, “The UAE Green Agenda 2015–2030,” refers to the use of KPIs to track progress on </w:t>
            </w:r>
            <w:r w:rsidRPr="00EC25D2">
              <w:rPr>
                <w:rFonts w:ascii="Calibri" w:hAnsi="Calibri" w:cs="Calibri"/>
              </w:rPr>
              <w:lastRenderedPageBreak/>
              <w:t xml:space="preserve">green economy and climate initiatives, and encourages their use for monitoring implementation (Section 1.6, p. 29) </w:t>
            </w:r>
          </w:p>
          <w:p w14:paraId="6A15114B" w14:textId="51527E42" w:rsidR="00EC25D2" w:rsidRPr="00EC25D2" w:rsidRDefault="00EC25D2" w:rsidP="00EC25D2">
            <w:pPr>
              <w:rPr>
                <w:rFonts w:ascii="Calibri" w:hAnsi="Calibri" w:cs="Calibri"/>
              </w:rPr>
            </w:pPr>
            <w:r w:rsidRPr="00EC25D2">
              <w:rPr>
                <w:rFonts w:ascii="Calibri" w:hAnsi="Calibri" w:cs="Calibri"/>
                <w:b/>
                <w:bCs/>
              </w:rPr>
              <w:t>Updates to the transition plan:</w:t>
            </w:r>
            <w:r w:rsidRPr="00EC25D2">
              <w:rPr>
                <w:rFonts w:ascii="Calibri" w:hAnsi="Calibri" w:cs="Calibri"/>
              </w:rPr>
              <w:br/>
              <w:t>Section 1.5, “Structure,” describes the plan as a “living document” that will be updated periodically according to progress, and encourages regular review and reassessment of outcomes (Section 1.5, p. 26)</w:t>
            </w:r>
          </w:p>
          <w:p w14:paraId="475AE54F" w14:textId="3E08023F" w:rsidR="005733AF" w:rsidRPr="00C37D48" w:rsidRDefault="00EC25D2" w:rsidP="00EC25D2">
            <w:pPr>
              <w:rPr>
                <w:rFonts w:ascii="Calibri" w:hAnsi="Calibri" w:cs="Calibri"/>
              </w:rPr>
            </w:pPr>
            <w:r w:rsidRPr="00EC25D2">
              <w:rPr>
                <w:rFonts w:ascii="Calibri" w:hAnsi="Calibri" w:cs="Calibri"/>
                <w:b/>
                <w:bCs/>
              </w:rPr>
              <w:t>Incorporation of climate change considerations into capital allocation and/or expenditure plans:</w:t>
            </w:r>
            <w:r w:rsidRPr="00EC25D2">
              <w:rPr>
                <w:rFonts w:ascii="Calibri" w:hAnsi="Calibri" w:cs="Calibri"/>
              </w:rPr>
              <w:br/>
              <w:t>Section 4.1, “Innovative Green Finance,” recommends integrating climate considerations into financial decision-making, including investment and expenditure plans, to stimulate sustainable projects (Section 4.1, p. 56</w:t>
            </w:r>
            <w:r>
              <w:rPr>
                <w:rFonts w:ascii="Calibri" w:hAnsi="Calibri" w:cs="Calibri"/>
              </w:rPr>
              <w:t>)</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682EF9D" w:rsidR="00E7486E" w:rsidRPr="00C37D48" w:rsidRDefault="00EC25D2" w:rsidP="00C37D48">
            <w:pPr>
              <w:rPr>
                <w:rFonts w:ascii="Calibri" w:hAnsi="Calibri" w:cs="Calibri"/>
              </w:rPr>
            </w:pPr>
            <w:r>
              <w:rPr>
                <w:rFonts w:ascii="Calibri" w:hAnsi="Calibri" w:cs="Calibri"/>
              </w:rPr>
              <w:t>X</w:t>
            </w: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5EAB56A" w:rsidR="00E7486E" w:rsidRPr="00C37D48" w:rsidRDefault="00EC25D2" w:rsidP="00EC25D2">
            <w:pPr>
              <w:rPr>
                <w:rFonts w:ascii="Calibri" w:hAnsi="Calibri" w:cs="Calibri"/>
              </w:rPr>
            </w:pPr>
            <w:r>
              <w:rPr>
                <w:rFonts w:ascii="Calibri" w:hAnsi="Calibri" w:cs="Calibri"/>
              </w:rPr>
              <w:t>s</w:t>
            </w:r>
            <w:r w:rsidRPr="00EC25D2">
              <w:rPr>
                <w:rFonts w:ascii="Calibri" w:hAnsi="Calibri" w:cs="Calibri"/>
              </w:rPr>
              <w:t xml:space="preserve">ection 1.6, “The UAE Green Agenda 2015–2030,” highlights the use of key performance indicators (KPIs) to track and assess progress on climate and green economy initiatives, encouraging entities to adopt similar monitoring practices for their own transition plans (Section 1.6, p. 29). Additionally, Section 1.5, “Structure,” refers to the importance of regular monitoring and reassessment at key milestones to ensure continuous improvement (Section 1.5, pp. 26–27) </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5473AFFD" w:rsidR="00671EA4" w:rsidRPr="00C37D48" w:rsidRDefault="00EC25D2"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560E00C6" w:rsidR="00B610C2" w:rsidRPr="00610F28" w:rsidRDefault="00EC25D2"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2408BE9" w:rsidR="00B610C2" w:rsidRPr="00610F28" w:rsidRDefault="00EC25D2"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31445DA2" w:rsidR="00B610C2" w:rsidRPr="00610F28" w:rsidRDefault="00EC25D2"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26C8F096" w:rsidR="00B610C2" w:rsidRPr="00610F28" w:rsidRDefault="00EC25D2"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05C27114" w:rsidR="00B610C2" w:rsidRPr="00610F28" w:rsidRDefault="00EC25D2"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0F78C3CA" w:rsidR="00B610C2" w:rsidRPr="00610F28" w:rsidRDefault="00EC25D2"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26FBE6B7" w:rsidR="00B610C2" w:rsidRPr="00610F28" w:rsidRDefault="00EC25D2"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28CEB527" w:rsidR="00B610C2" w:rsidRPr="00610F28" w:rsidRDefault="00EC25D2"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1D085543" w:rsidR="00B610C2" w:rsidRPr="00610F28" w:rsidRDefault="00EC25D2"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lastRenderedPageBreak/>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63BBB8BD" w:rsidR="00B610C2" w:rsidRPr="00610F28" w:rsidRDefault="00EC25D2"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0AD61DB0" w:rsidR="00B610C2" w:rsidRPr="00610F28" w:rsidRDefault="00B610C2" w:rsidP="00610F28">
            <w:pPr>
              <w:rPr>
                <w:rFonts w:ascii="Calibri" w:hAnsi="Calibri" w:cs="Calibri"/>
              </w:rPr>
            </w:pPr>
          </w:p>
        </w:tc>
        <w:tc>
          <w:tcPr>
            <w:tcW w:w="1450" w:type="dxa"/>
            <w:vAlign w:val="center"/>
          </w:tcPr>
          <w:p w14:paraId="292FE0E0" w14:textId="7A7F4B76" w:rsidR="00B610C2" w:rsidRPr="00610F28" w:rsidRDefault="004036D3"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248CA18E" w14:textId="1679FD64" w:rsidR="004036D3" w:rsidRPr="004036D3" w:rsidRDefault="004036D3" w:rsidP="004036D3">
            <w:pPr>
              <w:rPr>
                <w:rFonts w:ascii="Calibri" w:hAnsi="Calibri" w:cs="Calibri"/>
              </w:rPr>
            </w:pPr>
            <w:r w:rsidRPr="004036D3">
              <w:rPr>
                <w:rFonts w:ascii="Calibri" w:hAnsi="Calibri" w:cs="Calibri"/>
                <w:b/>
                <w:bCs/>
              </w:rPr>
              <w:t>United Nations Framework Convention on Climate Change (UNFCCC):</w:t>
            </w:r>
            <w:r w:rsidRPr="004036D3">
              <w:rPr>
                <w:rFonts w:ascii="Calibri" w:hAnsi="Calibri" w:cs="Calibri"/>
              </w:rPr>
              <w:br/>
              <w:t>The plan aligns with the reporting and inventory requirements of the UNFCCC.</w:t>
            </w:r>
          </w:p>
          <w:p w14:paraId="421E92BD" w14:textId="77777777" w:rsidR="004036D3" w:rsidRPr="004036D3" w:rsidRDefault="004036D3" w:rsidP="004036D3">
            <w:pPr>
              <w:rPr>
                <w:rFonts w:ascii="Calibri" w:hAnsi="Calibri" w:cs="Calibri"/>
              </w:rPr>
            </w:pPr>
            <w:hyperlink r:id="rId23" w:tgtFrame="_blank" w:history="1">
              <w:r w:rsidRPr="004036D3">
                <w:rPr>
                  <w:rStyle w:val="Hyperlink"/>
                  <w:rFonts w:ascii="Calibri" w:hAnsi="Calibri" w:cs="Calibri"/>
                </w:rPr>
                <w:t>Web-archived link</w:t>
              </w:r>
            </w:hyperlink>
          </w:p>
          <w:p w14:paraId="29F02172" w14:textId="230CEEFB" w:rsidR="004036D3" w:rsidRPr="004036D3" w:rsidRDefault="004036D3" w:rsidP="004036D3">
            <w:pPr>
              <w:rPr>
                <w:rFonts w:ascii="Calibri" w:hAnsi="Calibri" w:cs="Calibri"/>
              </w:rPr>
            </w:pPr>
            <w:r w:rsidRPr="004036D3">
              <w:rPr>
                <w:rFonts w:ascii="Calibri" w:hAnsi="Calibri" w:cs="Calibri"/>
                <w:b/>
                <w:bCs/>
              </w:rPr>
              <w:t>Paris Agreement:</w:t>
            </w:r>
            <w:r w:rsidRPr="004036D3">
              <w:rPr>
                <w:rFonts w:ascii="Calibri" w:hAnsi="Calibri" w:cs="Calibri"/>
              </w:rPr>
              <w:br/>
              <w:t>The plan supports the UAE’s commitments under the Paris Agreement, including Nationally Determined Contributions (NDCs) and periodic reporting.</w:t>
            </w:r>
          </w:p>
          <w:p w14:paraId="7C3FE282" w14:textId="77777777" w:rsidR="004036D3" w:rsidRPr="004036D3" w:rsidRDefault="004036D3" w:rsidP="004036D3">
            <w:pPr>
              <w:rPr>
                <w:rFonts w:ascii="Calibri" w:hAnsi="Calibri" w:cs="Calibri"/>
              </w:rPr>
            </w:pPr>
            <w:hyperlink r:id="rId24" w:tgtFrame="_blank" w:history="1">
              <w:r w:rsidRPr="004036D3">
                <w:rPr>
                  <w:rStyle w:val="Hyperlink"/>
                  <w:rFonts w:ascii="Calibri" w:hAnsi="Calibri" w:cs="Calibri"/>
                </w:rPr>
                <w:t>Web-archived link</w:t>
              </w:r>
            </w:hyperlink>
          </w:p>
          <w:p w14:paraId="39E19C19" w14:textId="23EB85A0" w:rsidR="004036D3" w:rsidRPr="004036D3" w:rsidRDefault="004036D3" w:rsidP="004036D3">
            <w:pPr>
              <w:rPr>
                <w:rFonts w:ascii="Calibri" w:hAnsi="Calibri" w:cs="Calibri"/>
              </w:rPr>
            </w:pPr>
            <w:r w:rsidRPr="004036D3">
              <w:rPr>
                <w:rFonts w:ascii="Calibri" w:hAnsi="Calibri" w:cs="Calibri"/>
                <w:b/>
                <w:bCs/>
              </w:rPr>
              <w:t>Kyoto Protocol:</w:t>
            </w:r>
            <w:r w:rsidRPr="004036D3">
              <w:rPr>
                <w:rFonts w:ascii="Calibri" w:hAnsi="Calibri" w:cs="Calibri"/>
              </w:rPr>
              <w:br/>
              <w:t>The plan references the UAE’s accession to the Kyoto Protocol and related reporting obligations.</w:t>
            </w:r>
          </w:p>
          <w:p w14:paraId="1F2E4320" w14:textId="77777777" w:rsidR="004036D3" w:rsidRPr="004036D3" w:rsidRDefault="004036D3" w:rsidP="004036D3">
            <w:pPr>
              <w:rPr>
                <w:rFonts w:ascii="Calibri" w:hAnsi="Calibri" w:cs="Calibri"/>
              </w:rPr>
            </w:pPr>
            <w:hyperlink r:id="rId25" w:tgtFrame="_blank" w:history="1">
              <w:r w:rsidRPr="004036D3">
                <w:rPr>
                  <w:rStyle w:val="Hyperlink"/>
                  <w:rFonts w:ascii="Calibri" w:hAnsi="Calibri" w:cs="Calibri"/>
                </w:rPr>
                <w:t>Web-archived link</w:t>
              </w:r>
            </w:hyperlink>
          </w:p>
          <w:p w14:paraId="4CD1E682" w14:textId="1C7A4B6C" w:rsidR="004036D3" w:rsidRPr="004036D3" w:rsidRDefault="004036D3" w:rsidP="004036D3">
            <w:pPr>
              <w:rPr>
                <w:rFonts w:ascii="Calibri" w:hAnsi="Calibri" w:cs="Calibri"/>
              </w:rPr>
            </w:pPr>
            <w:r w:rsidRPr="004036D3">
              <w:rPr>
                <w:rFonts w:ascii="Calibri" w:hAnsi="Calibri" w:cs="Calibri"/>
                <w:b/>
                <w:bCs/>
              </w:rPr>
              <w:t>Sustainable Development Goals (SDGs):</w:t>
            </w:r>
            <w:r w:rsidRPr="004036D3">
              <w:rPr>
                <w:rFonts w:ascii="Calibri" w:hAnsi="Calibri" w:cs="Calibri"/>
              </w:rPr>
              <w:br/>
              <w:t>The plan refers to the SDGs, particularly SDG 13 (Climate Action), as part of its broader sustainability context.</w:t>
            </w:r>
          </w:p>
          <w:p w14:paraId="2B84F8CC" w14:textId="77777777" w:rsidR="004036D3" w:rsidRPr="004036D3" w:rsidRDefault="004036D3" w:rsidP="004036D3">
            <w:pPr>
              <w:rPr>
                <w:rFonts w:ascii="Calibri" w:hAnsi="Calibri" w:cs="Calibri"/>
              </w:rPr>
            </w:pPr>
            <w:hyperlink r:id="rId26" w:tgtFrame="_blank" w:history="1">
              <w:r w:rsidRPr="004036D3">
                <w:rPr>
                  <w:rStyle w:val="Hyperlink"/>
                  <w:rFonts w:ascii="Calibri" w:hAnsi="Calibri" w:cs="Calibri"/>
                </w:rPr>
                <w:t>Web-archived link</w:t>
              </w:r>
            </w:hyperlink>
          </w:p>
          <w:p w14:paraId="27496F58" w14:textId="4B8676F4" w:rsidR="004036D3" w:rsidRPr="004036D3" w:rsidRDefault="004036D3" w:rsidP="004036D3">
            <w:pPr>
              <w:rPr>
                <w:rFonts w:ascii="Calibri" w:hAnsi="Calibri" w:cs="Calibri"/>
              </w:rPr>
            </w:pPr>
            <w:r w:rsidRPr="004036D3">
              <w:rPr>
                <w:rFonts w:ascii="Calibri" w:hAnsi="Calibri" w:cs="Calibri"/>
                <w:b/>
                <w:bCs/>
              </w:rPr>
              <w:t>National Communications and Biennial Update Reports (BURs):</w:t>
            </w:r>
            <w:r w:rsidRPr="004036D3">
              <w:rPr>
                <w:rFonts w:ascii="Calibri" w:hAnsi="Calibri" w:cs="Calibri"/>
              </w:rPr>
              <w:br/>
              <w:t>The plan references these UNFCCC reporting mechanisms as essential components of the national climate change management system.</w:t>
            </w:r>
          </w:p>
          <w:p w14:paraId="3C2756D6" w14:textId="4F697E03" w:rsidR="00B610C2" w:rsidRPr="00610F28" w:rsidRDefault="004036D3" w:rsidP="004036D3">
            <w:pPr>
              <w:rPr>
                <w:rFonts w:ascii="Calibri" w:hAnsi="Calibri" w:cs="Calibri"/>
              </w:rPr>
            </w:pPr>
            <w:hyperlink r:id="rId27" w:tgtFrame="_blank" w:history="1">
              <w:r w:rsidRPr="004036D3">
                <w:rPr>
                  <w:rStyle w:val="Hyperlink"/>
                  <w:rFonts w:ascii="Calibri" w:hAnsi="Calibri" w:cs="Calibri"/>
                </w:rPr>
                <w:t>Web-archived link</w:t>
              </w:r>
            </w:hyperlink>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287C1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9F078F"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9F078F"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5762C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3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F1A5E10" w14:textId="77777777" w:rsidR="00127A86" w:rsidRDefault="00127A86" w:rsidP="00874E39">
      <w:r>
        <w:separator/>
      </w:r>
    </w:p>
  </w:endnote>
  <w:endnote w:type="continuationSeparator" w:id="0">
    <w:p w14:paraId="1B7C22E1" w14:textId="77777777" w:rsidR="00127A86" w:rsidRDefault="00127A86" w:rsidP="00874E39">
      <w:r>
        <w:continuationSeparator/>
      </w:r>
    </w:p>
  </w:endnote>
  <w:endnote w:type="continuationNotice" w:id="1">
    <w:p w14:paraId="774D762D" w14:textId="77777777" w:rsidR="00127A86" w:rsidRDefault="00127A8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87F017C" w14:textId="77777777" w:rsidR="00127A86" w:rsidRDefault="00127A86" w:rsidP="00874E39">
      <w:r>
        <w:separator/>
      </w:r>
    </w:p>
  </w:footnote>
  <w:footnote w:type="continuationSeparator" w:id="0">
    <w:p w14:paraId="1050FEE5" w14:textId="77777777" w:rsidR="00127A86" w:rsidRDefault="00127A86" w:rsidP="00874E39">
      <w:r>
        <w:continuationSeparator/>
      </w:r>
    </w:p>
  </w:footnote>
  <w:footnote w:type="continuationNotice" w:id="1">
    <w:p w14:paraId="15E171EA" w14:textId="77777777" w:rsidR="00127A86" w:rsidRDefault="00127A8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5F2"/>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02A"/>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1022"/>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07F7B"/>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F26"/>
    <w:rsid w:val="00127A86"/>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41D5"/>
    <w:rsid w:val="002008EE"/>
    <w:rsid w:val="00200E3F"/>
    <w:rsid w:val="002018F7"/>
    <w:rsid w:val="002020E8"/>
    <w:rsid w:val="00203B08"/>
    <w:rsid w:val="002040F6"/>
    <w:rsid w:val="00204C4D"/>
    <w:rsid w:val="0020589D"/>
    <w:rsid w:val="00205D5A"/>
    <w:rsid w:val="0020665B"/>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5E0"/>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87C1D"/>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36D3"/>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232"/>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0DBA"/>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2C9"/>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38"/>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AB4"/>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AB6"/>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28C2"/>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2816"/>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9CE"/>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078F"/>
    <w:rsid w:val="009F20DB"/>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22F6"/>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267E"/>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B6C"/>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0B59"/>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12EB"/>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BA2"/>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5D2"/>
    <w:rsid w:val="00EC2AE7"/>
    <w:rsid w:val="00EC2EDF"/>
    <w:rsid w:val="00EC42A1"/>
    <w:rsid w:val="00EC523C"/>
    <w:rsid w:val="00EC5D7E"/>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384F"/>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6727A"/>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46B"/>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D93"/>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5107312">
      <w:bodyDiv w:val="1"/>
      <w:marLeft w:val="0"/>
      <w:marRight w:val="0"/>
      <w:marTop w:val="0"/>
      <w:marBottom w:val="0"/>
      <w:divBdr>
        <w:top w:val="none" w:sz="0" w:space="0" w:color="auto"/>
        <w:left w:val="none" w:sz="0" w:space="0" w:color="auto"/>
        <w:bottom w:val="none" w:sz="0" w:space="0" w:color="auto"/>
        <w:right w:val="none" w:sz="0" w:space="0" w:color="auto"/>
      </w:divBdr>
    </w:div>
    <w:div w:id="53087686">
      <w:bodyDiv w:val="1"/>
      <w:marLeft w:val="0"/>
      <w:marRight w:val="0"/>
      <w:marTop w:val="0"/>
      <w:marBottom w:val="0"/>
      <w:divBdr>
        <w:top w:val="none" w:sz="0" w:space="0" w:color="auto"/>
        <w:left w:val="none" w:sz="0" w:space="0" w:color="auto"/>
        <w:bottom w:val="none" w:sz="0" w:space="0" w:color="auto"/>
        <w:right w:val="none" w:sz="0" w:space="0" w:color="auto"/>
      </w:divBdr>
    </w:div>
    <w:div w:id="78908436">
      <w:bodyDiv w:val="1"/>
      <w:marLeft w:val="0"/>
      <w:marRight w:val="0"/>
      <w:marTop w:val="0"/>
      <w:marBottom w:val="0"/>
      <w:divBdr>
        <w:top w:val="none" w:sz="0" w:space="0" w:color="auto"/>
        <w:left w:val="none" w:sz="0" w:space="0" w:color="auto"/>
        <w:bottom w:val="none" w:sz="0" w:space="0" w:color="auto"/>
        <w:right w:val="none" w:sz="0" w:space="0" w:color="auto"/>
      </w:divBdr>
    </w:div>
    <w:div w:id="97918555">
      <w:bodyDiv w:val="1"/>
      <w:marLeft w:val="0"/>
      <w:marRight w:val="0"/>
      <w:marTop w:val="0"/>
      <w:marBottom w:val="0"/>
      <w:divBdr>
        <w:top w:val="none" w:sz="0" w:space="0" w:color="auto"/>
        <w:left w:val="none" w:sz="0" w:space="0" w:color="auto"/>
        <w:bottom w:val="none" w:sz="0" w:space="0" w:color="auto"/>
        <w:right w:val="none" w:sz="0" w:space="0" w:color="auto"/>
      </w:divBdr>
    </w:div>
    <w:div w:id="332152471">
      <w:bodyDiv w:val="1"/>
      <w:marLeft w:val="0"/>
      <w:marRight w:val="0"/>
      <w:marTop w:val="0"/>
      <w:marBottom w:val="0"/>
      <w:divBdr>
        <w:top w:val="none" w:sz="0" w:space="0" w:color="auto"/>
        <w:left w:val="none" w:sz="0" w:space="0" w:color="auto"/>
        <w:bottom w:val="none" w:sz="0" w:space="0" w:color="auto"/>
        <w:right w:val="none" w:sz="0" w:space="0" w:color="auto"/>
      </w:divBdr>
    </w:div>
    <w:div w:id="372660992">
      <w:bodyDiv w:val="1"/>
      <w:marLeft w:val="0"/>
      <w:marRight w:val="0"/>
      <w:marTop w:val="0"/>
      <w:marBottom w:val="0"/>
      <w:divBdr>
        <w:top w:val="none" w:sz="0" w:space="0" w:color="auto"/>
        <w:left w:val="none" w:sz="0" w:space="0" w:color="auto"/>
        <w:bottom w:val="none" w:sz="0" w:space="0" w:color="auto"/>
        <w:right w:val="none" w:sz="0" w:space="0" w:color="auto"/>
      </w:divBdr>
    </w:div>
    <w:div w:id="396517642">
      <w:bodyDiv w:val="1"/>
      <w:marLeft w:val="0"/>
      <w:marRight w:val="0"/>
      <w:marTop w:val="0"/>
      <w:marBottom w:val="0"/>
      <w:divBdr>
        <w:top w:val="none" w:sz="0" w:space="0" w:color="auto"/>
        <w:left w:val="none" w:sz="0" w:space="0" w:color="auto"/>
        <w:bottom w:val="none" w:sz="0" w:space="0" w:color="auto"/>
        <w:right w:val="none" w:sz="0" w:space="0" w:color="auto"/>
      </w:divBdr>
    </w:div>
    <w:div w:id="431046694">
      <w:bodyDiv w:val="1"/>
      <w:marLeft w:val="0"/>
      <w:marRight w:val="0"/>
      <w:marTop w:val="0"/>
      <w:marBottom w:val="0"/>
      <w:divBdr>
        <w:top w:val="none" w:sz="0" w:space="0" w:color="auto"/>
        <w:left w:val="none" w:sz="0" w:space="0" w:color="auto"/>
        <w:bottom w:val="none" w:sz="0" w:space="0" w:color="auto"/>
        <w:right w:val="none" w:sz="0" w:space="0" w:color="auto"/>
      </w:divBdr>
    </w:div>
    <w:div w:id="478233782">
      <w:bodyDiv w:val="1"/>
      <w:marLeft w:val="0"/>
      <w:marRight w:val="0"/>
      <w:marTop w:val="0"/>
      <w:marBottom w:val="0"/>
      <w:divBdr>
        <w:top w:val="none" w:sz="0" w:space="0" w:color="auto"/>
        <w:left w:val="none" w:sz="0" w:space="0" w:color="auto"/>
        <w:bottom w:val="none" w:sz="0" w:space="0" w:color="auto"/>
        <w:right w:val="none" w:sz="0" w:space="0" w:color="auto"/>
      </w:divBdr>
    </w:div>
    <w:div w:id="510217984">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9615351">
      <w:bodyDiv w:val="1"/>
      <w:marLeft w:val="0"/>
      <w:marRight w:val="0"/>
      <w:marTop w:val="0"/>
      <w:marBottom w:val="0"/>
      <w:divBdr>
        <w:top w:val="none" w:sz="0" w:space="0" w:color="auto"/>
        <w:left w:val="none" w:sz="0" w:space="0" w:color="auto"/>
        <w:bottom w:val="none" w:sz="0" w:space="0" w:color="auto"/>
        <w:right w:val="none" w:sz="0" w:space="0" w:color="auto"/>
      </w:divBdr>
    </w:div>
    <w:div w:id="822307573">
      <w:bodyDiv w:val="1"/>
      <w:marLeft w:val="0"/>
      <w:marRight w:val="0"/>
      <w:marTop w:val="0"/>
      <w:marBottom w:val="0"/>
      <w:divBdr>
        <w:top w:val="none" w:sz="0" w:space="0" w:color="auto"/>
        <w:left w:val="none" w:sz="0" w:space="0" w:color="auto"/>
        <w:bottom w:val="none" w:sz="0" w:space="0" w:color="auto"/>
        <w:right w:val="none" w:sz="0" w:space="0" w:color="auto"/>
      </w:divBdr>
    </w:div>
    <w:div w:id="829717099">
      <w:bodyDiv w:val="1"/>
      <w:marLeft w:val="0"/>
      <w:marRight w:val="0"/>
      <w:marTop w:val="0"/>
      <w:marBottom w:val="0"/>
      <w:divBdr>
        <w:top w:val="none" w:sz="0" w:space="0" w:color="auto"/>
        <w:left w:val="none" w:sz="0" w:space="0" w:color="auto"/>
        <w:bottom w:val="none" w:sz="0" w:space="0" w:color="auto"/>
        <w:right w:val="none" w:sz="0" w:space="0" w:color="auto"/>
      </w:divBdr>
    </w:div>
    <w:div w:id="885219859">
      <w:bodyDiv w:val="1"/>
      <w:marLeft w:val="0"/>
      <w:marRight w:val="0"/>
      <w:marTop w:val="0"/>
      <w:marBottom w:val="0"/>
      <w:divBdr>
        <w:top w:val="none" w:sz="0" w:space="0" w:color="auto"/>
        <w:left w:val="none" w:sz="0" w:space="0" w:color="auto"/>
        <w:bottom w:val="none" w:sz="0" w:space="0" w:color="auto"/>
        <w:right w:val="none" w:sz="0" w:space="0" w:color="auto"/>
      </w:divBdr>
    </w:div>
    <w:div w:id="1033533394">
      <w:bodyDiv w:val="1"/>
      <w:marLeft w:val="0"/>
      <w:marRight w:val="0"/>
      <w:marTop w:val="0"/>
      <w:marBottom w:val="0"/>
      <w:divBdr>
        <w:top w:val="none" w:sz="0" w:space="0" w:color="auto"/>
        <w:left w:val="none" w:sz="0" w:space="0" w:color="auto"/>
        <w:bottom w:val="none" w:sz="0" w:space="0" w:color="auto"/>
        <w:right w:val="none" w:sz="0" w:space="0" w:color="auto"/>
      </w:divBdr>
    </w:div>
    <w:div w:id="1065299566">
      <w:bodyDiv w:val="1"/>
      <w:marLeft w:val="0"/>
      <w:marRight w:val="0"/>
      <w:marTop w:val="0"/>
      <w:marBottom w:val="0"/>
      <w:divBdr>
        <w:top w:val="none" w:sz="0" w:space="0" w:color="auto"/>
        <w:left w:val="none" w:sz="0" w:space="0" w:color="auto"/>
        <w:bottom w:val="none" w:sz="0" w:space="0" w:color="auto"/>
        <w:right w:val="none" w:sz="0" w:space="0" w:color="auto"/>
      </w:divBdr>
    </w:div>
    <w:div w:id="1107189158">
      <w:bodyDiv w:val="1"/>
      <w:marLeft w:val="0"/>
      <w:marRight w:val="0"/>
      <w:marTop w:val="0"/>
      <w:marBottom w:val="0"/>
      <w:divBdr>
        <w:top w:val="none" w:sz="0" w:space="0" w:color="auto"/>
        <w:left w:val="none" w:sz="0" w:space="0" w:color="auto"/>
        <w:bottom w:val="none" w:sz="0" w:space="0" w:color="auto"/>
        <w:right w:val="none" w:sz="0" w:space="0" w:color="auto"/>
      </w:divBdr>
    </w:div>
    <w:div w:id="1113012900">
      <w:bodyDiv w:val="1"/>
      <w:marLeft w:val="0"/>
      <w:marRight w:val="0"/>
      <w:marTop w:val="0"/>
      <w:marBottom w:val="0"/>
      <w:divBdr>
        <w:top w:val="none" w:sz="0" w:space="0" w:color="auto"/>
        <w:left w:val="none" w:sz="0" w:space="0" w:color="auto"/>
        <w:bottom w:val="none" w:sz="0" w:space="0" w:color="auto"/>
        <w:right w:val="none" w:sz="0" w:space="0" w:color="auto"/>
      </w:divBdr>
    </w:div>
    <w:div w:id="1133211283">
      <w:bodyDiv w:val="1"/>
      <w:marLeft w:val="0"/>
      <w:marRight w:val="0"/>
      <w:marTop w:val="0"/>
      <w:marBottom w:val="0"/>
      <w:divBdr>
        <w:top w:val="none" w:sz="0" w:space="0" w:color="auto"/>
        <w:left w:val="none" w:sz="0" w:space="0" w:color="auto"/>
        <w:bottom w:val="none" w:sz="0" w:space="0" w:color="auto"/>
        <w:right w:val="none" w:sz="0" w:space="0" w:color="auto"/>
      </w:divBdr>
    </w:div>
    <w:div w:id="1157191675">
      <w:bodyDiv w:val="1"/>
      <w:marLeft w:val="0"/>
      <w:marRight w:val="0"/>
      <w:marTop w:val="0"/>
      <w:marBottom w:val="0"/>
      <w:divBdr>
        <w:top w:val="none" w:sz="0" w:space="0" w:color="auto"/>
        <w:left w:val="none" w:sz="0" w:space="0" w:color="auto"/>
        <w:bottom w:val="none" w:sz="0" w:space="0" w:color="auto"/>
        <w:right w:val="none" w:sz="0" w:space="0" w:color="auto"/>
      </w:divBdr>
    </w:div>
    <w:div w:id="1189291032">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4914378">
      <w:bodyDiv w:val="1"/>
      <w:marLeft w:val="0"/>
      <w:marRight w:val="0"/>
      <w:marTop w:val="0"/>
      <w:marBottom w:val="0"/>
      <w:divBdr>
        <w:top w:val="none" w:sz="0" w:space="0" w:color="auto"/>
        <w:left w:val="none" w:sz="0" w:space="0" w:color="auto"/>
        <w:bottom w:val="none" w:sz="0" w:space="0" w:color="auto"/>
        <w:right w:val="none" w:sz="0" w:space="0" w:color="auto"/>
      </w:divBdr>
    </w:div>
    <w:div w:id="1328438208">
      <w:bodyDiv w:val="1"/>
      <w:marLeft w:val="0"/>
      <w:marRight w:val="0"/>
      <w:marTop w:val="0"/>
      <w:marBottom w:val="0"/>
      <w:divBdr>
        <w:top w:val="none" w:sz="0" w:space="0" w:color="auto"/>
        <w:left w:val="none" w:sz="0" w:space="0" w:color="auto"/>
        <w:bottom w:val="none" w:sz="0" w:space="0" w:color="auto"/>
        <w:right w:val="none" w:sz="0" w:space="0" w:color="auto"/>
      </w:divBdr>
    </w:div>
    <w:div w:id="1331180249">
      <w:bodyDiv w:val="1"/>
      <w:marLeft w:val="0"/>
      <w:marRight w:val="0"/>
      <w:marTop w:val="0"/>
      <w:marBottom w:val="0"/>
      <w:divBdr>
        <w:top w:val="none" w:sz="0" w:space="0" w:color="auto"/>
        <w:left w:val="none" w:sz="0" w:space="0" w:color="auto"/>
        <w:bottom w:val="none" w:sz="0" w:space="0" w:color="auto"/>
        <w:right w:val="none" w:sz="0" w:space="0" w:color="auto"/>
      </w:divBdr>
    </w:div>
    <w:div w:id="1420174594">
      <w:bodyDiv w:val="1"/>
      <w:marLeft w:val="0"/>
      <w:marRight w:val="0"/>
      <w:marTop w:val="0"/>
      <w:marBottom w:val="0"/>
      <w:divBdr>
        <w:top w:val="none" w:sz="0" w:space="0" w:color="auto"/>
        <w:left w:val="none" w:sz="0" w:space="0" w:color="auto"/>
        <w:bottom w:val="none" w:sz="0" w:space="0" w:color="auto"/>
        <w:right w:val="none" w:sz="0" w:space="0" w:color="auto"/>
      </w:divBdr>
    </w:div>
    <w:div w:id="1551459002">
      <w:bodyDiv w:val="1"/>
      <w:marLeft w:val="0"/>
      <w:marRight w:val="0"/>
      <w:marTop w:val="0"/>
      <w:marBottom w:val="0"/>
      <w:divBdr>
        <w:top w:val="none" w:sz="0" w:space="0" w:color="auto"/>
        <w:left w:val="none" w:sz="0" w:space="0" w:color="auto"/>
        <w:bottom w:val="none" w:sz="0" w:space="0" w:color="auto"/>
        <w:right w:val="none" w:sz="0" w:space="0" w:color="auto"/>
      </w:divBdr>
    </w:div>
    <w:div w:id="1681200156">
      <w:bodyDiv w:val="1"/>
      <w:marLeft w:val="0"/>
      <w:marRight w:val="0"/>
      <w:marTop w:val="0"/>
      <w:marBottom w:val="0"/>
      <w:divBdr>
        <w:top w:val="none" w:sz="0" w:space="0" w:color="auto"/>
        <w:left w:val="none" w:sz="0" w:space="0" w:color="auto"/>
        <w:bottom w:val="none" w:sz="0" w:space="0" w:color="auto"/>
        <w:right w:val="none" w:sz="0" w:space="0" w:color="auto"/>
      </w:divBdr>
    </w:div>
    <w:div w:id="1793862305">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57453587">
      <w:bodyDiv w:val="1"/>
      <w:marLeft w:val="0"/>
      <w:marRight w:val="0"/>
      <w:marTop w:val="0"/>
      <w:marBottom w:val="0"/>
      <w:divBdr>
        <w:top w:val="none" w:sz="0" w:space="0" w:color="auto"/>
        <w:left w:val="none" w:sz="0" w:space="0" w:color="auto"/>
        <w:bottom w:val="none" w:sz="0" w:space="0" w:color="auto"/>
        <w:right w:val="none" w:sz="0" w:space="0" w:color="auto"/>
      </w:divBdr>
    </w:div>
    <w:div w:id="1941908068">
      <w:bodyDiv w:val="1"/>
      <w:marLeft w:val="0"/>
      <w:marRight w:val="0"/>
      <w:marTop w:val="0"/>
      <w:marBottom w:val="0"/>
      <w:divBdr>
        <w:top w:val="none" w:sz="0" w:space="0" w:color="auto"/>
        <w:left w:val="none" w:sz="0" w:space="0" w:color="auto"/>
        <w:bottom w:val="none" w:sz="0" w:space="0" w:color="auto"/>
        <w:right w:val="none" w:sz="0" w:space="0" w:color="auto"/>
      </w:divBdr>
    </w:div>
    <w:div w:id="1989941802">
      <w:bodyDiv w:val="1"/>
      <w:marLeft w:val="0"/>
      <w:marRight w:val="0"/>
      <w:marTop w:val="0"/>
      <w:marBottom w:val="0"/>
      <w:divBdr>
        <w:top w:val="none" w:sz="0" w:space="0" w:color="auto"/>
        <w:left w:val="none" w:sz="0" w:space="0" w:color="auto"/>
        <w:bottom w:val="none" w:sz="0" w:space="0" w:color="auto"/>
        <w:right w:val="none" w:sz="0" w:space="0" w:color="auto"/>
      </w:divBdr>
    </w:div>
    <w:div w:id="2012289434">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7437884">
      <w:bodyDiv w:val="1"/>
      <w:marLeft w:val="0"/>
      <w:marRight w:val="0"/>
      <w:marTop w:val="0"/>
      <w:marBottom w:val="0"/>
      <w:divBdr>
        <w:top w:val="none" w:sz="0" w:space="0" w:color="auto"/>
        <w:left w:val="none" w:sz="0" w:space="0" w:color="auto"/>
        <w:bottom w:val="none" w:sz="0" w:space="0" w:color="auto"/>
        <w:right w:val="none" w:sz="0" w:space="0" w:color="auto"/>
      </w:divBdr>
    </w:div>
    <w:div w:id="21465765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30324192011/https:/unfccc.int/" TargetMode="External"/><Relationship Id="rId26" Type="http://schemas.openxmlformats.org/officeDocument/2006/relationships/hyperlink" Target="https://web.archive.org/web/20230324192310/https:/sdgs.un.org/goals" TargetMode="External"/><Relationship Id="rId3" Type="http://schemas.openxmlformats.org/officeDocument/2006/relationships/customXml" Target="../customXml/item3.xml"/><Relationship Id="rId21" Type="http://schemas.openxmlformats.org/officeDocument/2006/relationships/hyperlink" Target="https://web.archive.org/web/20230324192310/https:/sdgs.un.org/goals"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file:///\\ProfilesMUS\sMyDocs$\nada\Documents\Pro%20bono\Oxford%20Climate%20Policy%20Monitor%202025\UAE%20reports\National%20Climate%20Change%20Plan.pdf" TargetMode="External"/><Relationship Id="rId25" Type="http://schemas.openxmlformats.org/officeDocument/2006/relationships/hyperlink" Target="https://web.archive.org/web/20230324192222/https:/unfccc.int/kyoto_protocol"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30324192222/https:/unfccc.int/kyoto_protocol" TargetMode="External"/><Relationship Id="rId29"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30324192116/https:/unfccc.int/process-and-meetings/the-paris-agreement/the-paris-agreement" TargetMode="External"/><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eb.archive.org/web/20230324192011/https:/unfccc.int/" TargetMode="External"/><Relationship Id="rId28" Type="http://schemas.openxmlformats.org/officeDocument/2006/relationships/hyperlink" Target="https://www.bis.org/fsi/fsibriefs18.pdf" TargetMode="External"/><Relationship Id="rId10" Type="http://schemas.openxmlformats.org/officeDocument/2006/relationships/endnotes" Target="endnotes.xml"/><Relationship Id="rId19" Type="http://schemas.openxmlformats.org/officeDocument/2006/relationships/hyperlink" Target="https://web.archive.org/web/20230324192116/https:/unfccc.int/process-and-meetings/the-paris-agreement/the-paris-agreement" TargetMode="External"/><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30324192407/https:/unfccc.int/national-reports" TargetMode="External"/><Relationship Id="rId27" Type="http://schemas.openxmlformats.org/officeDocument/2006/relationships/hyperlink" Target="https://web.archive.org/web/20230324192407/https:/unfccc.int/national-reports" TargetMode="External"/><Relationship Id="rId30"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TotalTime>
  <Pages>113</Pages>
  <Words>24075</Words>
  <Characters>133136</Characters>
  <Application>Microsoft Office Word</Application>
  <DocSecurity>0</DocSecurity>
  <Lines>2662</Lines>
  <Paragraphs>1497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155714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Dentons</cp:lastModifiedBy>
  <cp:revision>4</cp:revision>
  <cp:lastPrinted>2025-03-21T00:14:00Z</cp:lastPrinted>
  <dcterms:created xsi:type="dcterms:W3CDTF">2025-08-07T10:33:00Z</dcterms:created>
  <dcterms:modified xsi:type="dcterms:W3CDTF">2025-08-07T12:26:00Z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